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B9" w:rsidRPr="00E275A9" w:rsidRDefault="00542795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Contingency </w:t>
      </w:r>
      <w:r w:rsidRPr="00E275A9">
        <w:rPr>
          <w:rFonts w:ascii="Times New Roman" w:hAnsi="Times New Roman" w:cs="Times New Roman"/>
          <w:b/>
          <w:sz w:val="36"/>
          <w:szCs w:val="36"/>
        </w:rPr>
        <w:t xml:space="preserve">Actions list </w:t>
      </w:r>
      <w:r w:rsidR="00E275A9" w:rsidRPr="00E275A9">
        <w:rPr>
          <w:rFonts w:ascii="Times New Roman" w:hAnsi="Times New Roman" w:cs="Times New Roman"/>
          <w:b/>
          <w:color w:val="FF0000"/>
          <w:sz w:val="36"/>
          <w:szCs w:val="36"/>
        </w:rPr>
        <w:t>(Red highlighted new as the T rating)</w:t>
      </w:r>
    </w:p>
    <w:p w:rsidR="00542795" w:rsidRDefault="00D63CB9" w:rsidP="005427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following is a list of </w:t>
      </w:r>
      <w:r w:rsidR="005360C0">
        <w:rPr>
          <w:rFonts w:ascii="Times New Roman" w:hAnsi="Times New Roman" w:cs="Times New Roman"/>
        </w:rPr>
        <w:t xml:space="preserve">contingency </w:t>
      </w:r>
      <w:r>
        <w:rPr>
          <w:rFonts w:ascii="Times New Roman" w:hAnsi="Times New Roman" w:cs="Times New Roman"/>
        </w:rPr>
        <w:t xml:space="preserve">actions </w:t>
      </w:r>
      <w:r w:rsidR="00F627F3">
        <w:rPr>
          <w:rFonts w:ascii="Times New Roman" w:hAnsi="Times New Roman" w:cs="Times New Roman"/>
        </w:rPr>
        <w:t>that may be taken to provide reserves, voltage</w:t>
      </w:r>
      <w:r w:rsidR="00412FC8">
        <w:rPr>
          <w:rFonts w:ascii="Times New Roman" w:hAnsi="Times New Roman" w:cs="Times New Roman"/>
        </w:rPr>
        <w:t>, energy</w:t>
      </w:r>
      <w:r w:rsidR="005360C0">
        <w:rPr>
          <w:rFonts w:ascii="Times New Roman" w:hAnsi="Times New Roman" w:cs="Times New Roman"/>
        </w:rPr>
        <w:t xml:space="preserve"> or </w:t>
      </w:r>
      <w:r w:rsidR="00F627F3">
        <w:rPr>
          <w:rFonts w:ascii="Times New Roman" w:hAnsi="Times New Roman" w:cs="Times New Roman"/>
        </w:rPr>
        <w:t>in</w:t>
      </w:r>
      <w:r w:rsidR="00542795">
        <w:rPr>
          <w:rFonts w:ascii="Times New Roman" w:hAnsi="Times New Roman" w:cs="Times New Roman"/>
        </w:rPr>
        <w:t>er</w:t>
      </w:r>
      <w:r w:rsidR="00F627F3">
        <w:rPr>
          <w:rFonts w:ascii="Times New Roman" w:hAnsi="Times New Roman" w:cs="Times New Roman"/>
        </w:rPr>
        <w:t>tia. The order and extent of the actual implementation of the actions in this list will be dictated by each specific condition</w:t>
      </w:r>
      <w:r w:rsidR="005360C0">
        <w:rPr>
          <w:rFonts w:ascii="Times New Roman" w:hAnsi="Times New Roman" w:cs="Times New Roman"/>
        </w:rPr>
        <w:t xml:space="preserve"> but if possible the order at each </w:t>
      </w:r>
      <w:r w:rsidR="00542795">
        <w:rPr>
          <w:rFonts w:ascii="Times New Roman" w:hAnsi="Times New Roman" w:cs="Times New Roman"/>
        </w:rPr>
        <w:t xml:space="preserve">individual </w:t>
      </w:r>
      <w:r w:rsidR="00F67112">
        <w:rPr>
          <w:rFonts w:ascii="Times New Roman" w:hAnsi="Times New Roman" w:cs="Times New Roman"/>
        </w:rPr>
        <w:t>dam</w:t>
      </w:r>
      <w:r w:rsidR="005360C0">
        <w:rPr>
          <w:rFonts w:ascii="Times New Roman" w:hAnsi="Times New Roman" w:cs="Times New Roman"/>
        </w:rPr>
        <w:t xml:space="preserve"> will be followed</w:t>
      </w:r>
      <w:r w:rsidR="00F627F3">
        <w:rPr>
          <w:rFonts w:ascii="Times New Roman" w:hAnsi="Times New Roman" w:cs="Times New Roman"/>
        </w:rPr>
        <w:t xml:space="preserve">. The </w:t>
      </w:r>
      <w:r w:rsidR="005360C0">
        <w:rPr>
          <w:rFonts w:ascii="Times New Roman" w:hAnsi="Times New Roman" w:cs="Times New Roman"/>
        </w:rPr>
        <w:t xml:space="preserve">actions on the </w:t>
      </w:r>
      <w:r w:rsidR="00F627F3">
        <w:rPr>
          <w:rFonts w:ascii="Times New Roman" w:hAnsi="Times New Roman" w:cs="Times New Roman"/>
        </w:rPr>
        <w:t xml:space="preserve">list may be updated </w:t>
      </w:r>
      <w:r w:rsidR="0097508A">
        <w:rPr>
          <w:rFonts w:ascii="Times New Roman" w:hAnsi="Times New Roman" w:cs="Times New Roman"/>
        </w:rPr>
        <w:t xml:space="preserve">as necessary through coordination with </w:t>
      </w:r>
      <w:r w:rsidR="00B152CD">
        <w:rPr>
          <w:rFonts w:ascii="Times New Roman" w:hAnsi="Times New Roman" w:cs="Times New Roman"/>
        </w:rPr>
        <w:t xml:space="preserve">TMT.  </w:t>
      </w:r>
      <w:r w:rsidR="00B152CD" w:rsidRPr="00B152CD">
        <w:rPr>
          <w:rFonts w:ascii="Times New Roman" w:hAnsi="Times New Roman" w:cs="Times New Roman"/>
          <w:color w:val="FF0000"/>
        </w:rPr>
        <w:t>The actions are ranked by project and by a Tier rating</w:t>
      </w:r>
      <w:r w:rsidR="00B152CD">
        <w:rPr>
          <w:rFonts w:ascii="Times New Roman" w:hAnsi="Times New Roman" w:cs="Times New Roman"/>
          <w:color w:val="FF0000"/>
        </w:rPr>
        <w:t xml:space="preserve"> (</w:t>
      </w:r>
      <w:proofErr w:type="spellStart"/>
      <w:r w:rsidR="00B152CD">
        <w:rPr>
          <w:rFonts w:ascii="Times New Roman" w:hAnsi="Times New Roman" w:cs="Times New Roman"/>
          <w:color w:val="FF0000"/>
        </w:rPr>
        <w:t>e</w:t>
      </w:r>
      <w:r w:rsidR="00C70601">
        <w:rPr>
          <w:rFonts w:ascii="Times New Roman" w:hAnsi="Times New Roman" w:cs="Times New Roman"/>
          <w:color w:val="FF0000"/>
        </w:rPr>
        <w:t>g</w:t>
      </w:r>
      <w:proofErr w:type="spellEnd"/>
      <w:r w:rsidR="00B152CD">
        <w:rPr>
          <w:rFonts w:ascii="Times New Roman" w:hAnsi="Times New Roman" w:cs="Times New Roman"/>
          <w:color w:val="FF0000"/>
        </w:rPr>
        <w:t xml:space="preserve"> T1 = Tier 1)</w:t>
      </w:r>
      <w:r w:rsidR="00B152CD" w:rsidRPr="00B152CD">
        <w:rPr>
          <w:rFonts w:ascii="Times New Roman" w:hAnsi="Times New Roman" w:cs="Times New Roman"/>
          <w:color w:val="FF0000"/>
        </w:rPr>
        <w:t xml:space="preserve">.  Tier 1 actions </w:t>
      </w:r>
      <w:r w:rsidR="00C70601">
        <w:rPr>
          <w:rFonts w:ascii="Times New Roman" w:hAnsi="Times New Roman" w:cs="Times New Roman"/>
          <w:color w:val="FF0000"/>
        </w:rPr>
        <w:t xml:space="preserve">taken first, </w:t>
      </w:r>
      <w:r w:rsidR="00B152CD" w:rsidRPr="00B152CD">
        <w:rPr>
          <w:rFonts w:ascii="Times New Roman" w:hAnsi="Times New Roman" w:cs="Times New Roman"/>
          <w:color w:val="FF0000"/>
        </w:rPr>
        <w:t xml:space="preserve">then Tier 2 </w:t>
      </w:r>
      <w:r w:rsidR="00C70601">
        <w:rPr>
          <w:rFonts w:ascii="Times New Roman" w:hAnsi="Times New Roman" w:cs="Times New Roman"/>
          <w:color w:val="FF0000"/>
        </w:rPr>
        <w:t xml:space="preserve">through Tier </w:t>
      </w:r>
      <w:proofErr w:type="gramStart"/>
      <w:r w:rsidR="00C70601">
        <w:rPr>
          <w:rFonts w:ascii="Times New Roman" w:hAnsi="Times New Roman" w:cs="Times New Roman"/>
          <w:color w:val="FF0000"/>
        </w:rPr>
        <w:t>7</w:t>
      </w:r>
      <w:r w:rsidR="00B152CD" w:rsidRPr="00B152CD">
        <w:rPr>
          <w:rFonts w:ascii="Times New Roman" w:hAnsi="Times New Roman" w:cs="Times New Roman"/>
          <w:color w:val="FF0000"/>
        </w:rPr>
        <w:t xml:space="preserve">  </w:t>
      </w:r>
      <w:r w:rsidR="00B858C4" w:rsidRPr="00B858C4">
        <w:rPr>
          <w:rFonts w:ascii="Times New Roman" w:hAnsi="Times New Roman" w:cs="Times New Roman"/>
          <w:b/>
        </w:rPr>
        <w:t>(</w:t>
      </w:r>
      <w:proofErr w:type="gramEnd"/>
      <w:r w:rsidR="00B858C4" w:rsidRPr="00B858C4">
        <w:rPr>
          <w:rFonts w:ascii="Times New Roman" w:hAnsi="Times New Roman" w:cs="Times New Roman"/>
          <w:b/>
        </w:rPr>
        <w:t>u</w:t>
      </w:r>
      <w:r w:rsidR="00542795" w:rsidRPr="00542795">
        <w:rPr>
          <w:rFonts w:ascii="Times New Roman" w:hAnsi="Times New Roman" w:cs="Times New Roman"/>
          <w:b/>
        </w:rPr>
        <w:t xml:space="preserve">pdated </w:t>
      </w:r>
      <w:r w:rsidR="00B858C4">
        <w:rPr>
          <w:rFonts w:ascii="Times New Roman" w:hAnsi="Times New Roman" w:cs="Times New Roman"/>
          <w:b/>
        </w:rPr>
        <w:t xml:space="preserve">by </w:t>
      </w:r>
      <w:r w:rsidR="00542795" w:rsidRPr="00542795">
        <w:rPr>
          <w:rFonts w:ascii="Times New Roman" w:hAnsi="Times New Roman" w:cs="Times New Roman"/>
          <w:b/>
        </w:rPr>
        <w:t>TMT March xx, 2018)</w:t>
      </w:r>
    </w:p>
    <w:p w:rsidR="00DD4F4A" w:rsidRPr="00FD514F" w:rsidRDefault="00DD4F4A" w:rsidP="00DD4F4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FD514F">
        <w:rPr>
          <w:rFonts w:ascii="Times New Roman" w:hAnsi="Times New Roman" w:cs="Times New Roman"/>
          <w:b/>
          <w:sz w:val="32"/>
          <w:szCs w:val="32"/>
        </w:rPr>
        <w:t>pril – August period</w:t>
      </w:r>
    </w:p>
    <w:p w:rsidR="00411CDD" w:rsidRDefault="00411CDD" w:rsidP="00411CDD">
      <w:pPr>
        <w:pStyle w:val="PlainText"/>
      </w:pPr>
      <w:r>
        <w:t>Tier 1</w:t>
      </w:r>
    </w:p>
    <w:p w:rsidR="00411CDD" w:rsidRDefault="00411CDD" w:rsidP="00411CDD">
      <w:pPr>
        <w:pStyle w:val="PlainText"/>
      </w:pPr>
      <w:r>
        <w:t>Power emergency increase generation to outside 1% up to full load</w:t>
      </w:r>
    </w:p>
    <w:p w:rsidR="00411CDD" w:rsidRDefault="00411CDD" w:rsidP="00411CDD">
      <w:pPr>
        <w:pStyle w:val="PlainText"/>
      </w:pPr>
      <w:r>
        <w:t xml:space="preserve">Order: </w:t>
      </w:r>
      <w:r w:rsidR="00DD4F4A">
        <w:t>Reduce</w:t>
      </w:r>
      <w:r>
        <w:t>, BON PH1, JDA, TDA, MCN</w:t>
      </w:r>
      <w:r w:rsidR="00DD4F4A">
        <w:t xml:space="preserve"> up to 14.4 kcfs range</w:t>
      </w:r>
      <w:r>
        <w:t>, Snake River Dams</w:t>
      </w:r>
    </w:p>
    <w:p w:rsidR="00411CDD" w:rsidRDefault="00411CDD" w:rsidP="00411CDD">
      <w:pPr>
        <w:pStyle w:val="PlainText"/>
      </w:pPr>
    </w:p>
    <w:p w:rsidR="00411CDD" w:rsidRDefault="00411CDD" w:rsidP="00411CDD">
      <w:pPr>
        <w:pStyle w:val="PlainText"/>
      </w:pPr>
      <w:r>
        <w:t>Tier 2</w:t>
      </w:r>
    </w:p>
    <w:p w:rsidR="00411CDD" w:rsidRDefault="00411CDD" w:rsidP="00411CDD">
      <w:pPr>
        <w:pStyle w:val="PlainText"/>
      </w:pPr>
      <w:r>
        <w:t>Power emergency reduce spill to 2</w:t>
      </w:r>
      <w:r w:rsidR="00BB2512">
        <w:t xml:space="preserve">014 </w:t>
      </w:r>
      <w:r>
        <w:t>BiOp</w:t>
      </w:r>
      <w:r w:rsidR="00BB2512">
        <w:t xml:space="preserve"> </w:t>
      </w:r>
      <w:proofErr w:type="spellStart"/>
      <w:r w:rsidR="00BB2512">
        <w:t>levles</w:t>
      </w:r>
      <w:proofErr w:type="spellEnd"/>
    </w:p>
    <w:p w:rsidR="00BB2512" w:rsidRDefault="00BB2512" w:rsidP="00411CDD">
      <w:pPr>
        <w:pStyle w:val="PlainText"/>
      </w:pPr>
    </w:p>
    <w:p w:rsidR="00BB2512" w:rsidRDefault="00BB2512" w:rsidP="00411CDD">
      <w:pPr>
        <w:pStyle w:val="PlainText"/>
      </w:pPr>
      <w:r>
        <w:rPr>
          <w:noProof/>
        </w:rPr>
        <w:drawing>
          <wp:inline distT="0" distB="0" distL="0" distR="0" wp14:anchorId="1AF25E4C" wp14:editId="5C038114">
            <wp:extent cx="5257800" cy="3038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512" w:rsidRDefault="00BB2512" w:rsidP="00411CDD">
      <w:pPr>
        <w:pStyle w:val="PlainText"/>
      </w:pPr>
      <w:r>
        <w:rPr>
          <w:noProof/>
        </w:rPr>
        <w:lastRenderedPageBreak/>
        <w:drawing>
          <wp:inline distT="0" distB="0" distL="0" distR="0" wp14:anchorId="228B49DF" wp14:editId="5CC7DF28">
            <wp:extent cx="5572125" cy="3076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512" w:rsidRDefault="00BB2512" w:rsidP="00411CDD">
      <w:pPr>
        <w:pStyle w:val="PlainText"/>
      </w:pPr>
    </w:p>
    <w:p w:rsidR="00411CDD" w:rsidRDefault="00411CDD" w:rsidP="00411CDD">
      <w:pPr>
        <w:pStyle w:val="PlainText"/>
      </w:pPr>
      <w:r>
        <w:t>Order: LGR, LGO, LMN, IHR, MCN, JDA, TDA, BON</w:t>
      </w:r>
    </w:p>
    <w:p w:rsidR="00DD4F4A" w:rsidRDefault="00DD4F4A" w:rsidP="00411CDD">
      <w:pPr>
        <w:pStyle w:val="PlainText"/>
      </w:pPr>
      <w:r>
        <w:t>Increase generation outside of 1% Bon PH2, Use full 1% range at MCN</w:t>
      </w:r>
    </w:p>
    <w:p w:rsidR="00411CDD" w:rsidRDefault="00411CDD" w:rsidP="00411CDD">
      <w:pPr>
        <w:pStyle w:val="PlainText"/>
      </w:pPr>
    </w:p>
    <w:p w:rsidR="00DD4F4A" w:rsidRPr="00DD4F4A" w:rsidRDefault="00BB2512" w:rsidP="00411CDD">
      <w:pPr>
        <w:pStyle w:val="PlainText"/>
        <w:rPr>
          <w:color w:val="FF0000"/>
        </w:rPr>
      </w:pPr>
      <w:r>
        <w:rPr>
          <w:color w:val="FF0000"/>
        </w:rPr>
        <w:t xml:space="preserve">Allow </w:t>
      </w:r>
      <w:r w:rsidR="00DD4F4A" w:rsidRPr="00DD4F4A">
        <w:rPr>
          <w:color w:val="FF0000"/>
        </w:rPr>
        <w:t xml:space="preserve">MOP </w:t>
      </w:r>
      <w:r>
        <w:rPr>
          <w:color w:val="FF0000"/>
        </w:rPr>
        <w:t>excursion up to:</w:t>
      </w:r>
      <w:r w:rsidR="00C70601">
        <w:rPr>
          <w:color w:val="FF0000"/>
        </w:rPr>
        <w:t xml:space="preserve"> </w:t>
      </w:r>
      <w:r>
        <w:rPr>
          <w:color w:val="FF0000"/>
        </w:rPr>
        <w:t>1-</w:t>
      </w:r>
      <w:r w:rsidR="00DD4F4A">
        <w:rPr>
          <w:color w:val="FF0000"/>
        </w:rPr>
        <w:t xml:space="preserve">2 </w:t>
      </w:r>
      <w:r w:rsidR="00DD4F4A" w:rsidRPr="00DD4F4A">
        <w:rPr>
          <w:color w:val="FF0000"/>
        </w:rPr>
        <w:t>f</w:t>
      </w:r>
      <w:r>
        <w:rPr>
          <w:color w:val="FF0000"/>
        </w:rPr>
        <w:t>ee</w:t>
      </w:r>
      <w:r w:rsidR="00DD4F4A" w:rsidRPr="00DD4F4A">
        <w:rPr>
          <w:color w:val="FF0000"/>
        </w:rPr>
        <w:t>t</w:t>
      </w:r>
      <w:r w:rsidR="00DD4F4A">
        <w:rPr>
          <w:color w:val="FF0000"/>
        </w:rPr>
        <w:t xml:space="preserve"> </w:t>
      </w:r>
    </w:p>
    <w:p w:rsidR="00DD4F4A" w:rsidRDefault="00DD4F4A" w:rsidP="00411CDD">
      <w:pPr>
        <w:pStyle w:val="PlainText"/>
      </w:pPr>
    </w:p>
    <w:p w:rsidR="00411CDD" w:rsidRDefault="00411CDD" w:rsidP="00411CDD">
      <w:pPr>
        <w:pStyle w:val="PlainText"/>
      </w:pPr>
      <w:r>
        <w:t>Tier 3</w:t>
      </w:r>
    </w:p>
    <w:p w:rsidR="00411CDD" w:rsidRDefault="00C70601" w:rsidP="00411CDD">
      <w:pPr>
        <w:pStyle w:val="PlainText"/>
      </w:pPr>
      <w:r>
        <w:t>P</w:t>
      </w:r>
      <w:r w:rsidR="00411CDD">
        <w:t>ower emergency intermediate spill</w:t>
      </w:r>
    </w:p>
    <w:p w:rsidR="00411CDD" w:rsidRDefault="00411CDD" w:rsidP="00411CDD">
      <w:pPr>
        <w:pStyle w:val="PlainText"/>
      </w:pPr>
      <w:r>
        <w:t>Order: 18k LGR, 17k LMN, 30% LGS, 30% IHR, 30% MCN, 30% JDA, 30%</w:t>
      </w:r>
      <w:r w:rsidR="00DD4F4A">
        <w:t xml:space="preserve"> TDA, 95</w:t>
      </w:r>
      <w:r>
        <w:t>K BON</w:t>
      </w:r>
    </w:p>
    <w:p w:rsidR="00411CDD" w:rsidRDefault="00411CDD" w:rsidP="00411CDD">
      <w:pPr>
        <w:pStyle w:val="PlainText"/>
      </w:pPr>
    </w:p>
    <w:p w:rsidR="00DD4F4A" w:rsidRPr="00DD4F4A" w:rsidRDefault="00C70601" w:rsidP="00411CDD">
      <w:pPr>
        <w:pStyle w:val="PlainText"/>
        <w:rPr>
          <w:color w:val="FF0000"/>
        </w:rPr>
      </w:pPr>
      <w:r>
        <w:rPr>
          <w:color w:val="FF0000"/>
        </w:rPr>
        <w:t xml:space="preserve">Allow </w:t>
      </w:r>
      <w:r w:rsidR="00DD4F4A" w:rsidRPr="00DD4F4A">
        <w:rPr>
          <w:color w:val="FF0000"/>
        </w:rPr>
        <w:t xml:space="preserve">MOP </w:t>
      </w:r>
      <w:r>
        <w:rPr>
          <w:color w:val="FF0000"/>
        </w:rPr>
        <w:t xml:space="preserve">excursion up to: </w:t>
      </w:r>
      <w:r w:rsidR="00DD4F4A" w:rsidRPr="00DD4F4A">
        <w:rPr>
          <w:color w:val="FF0000"/>
        </w:rPr>
        <w:t>2-3 f</w:t>
      </w:r>
      <w:r>
        <w:rPr>
          <w:color w:val="FF0000"/>
        </w:rPr>
        <w:t>ee</w:t>
      </w:r>
      <w:r w:rsidR="00DD4F4A" w:rsidRPr="00DD4F4A">
        <w:rPr>
          <w:color w:val="FF0000"/>
        </w:rPr>
        <w:t xml:space="preserve">t </w:t>
      </w:r>
    </w:p>
    <w:p w:rsidR="00DD4F4A" w:rsidRDefault="00DD4F4A" w:rsidP="00411CDD">
      <w:pPr>
        <w:pStyle w:val="PlainText"/>
      </w:pPr>
    </w:p>
    <w:p w:rsidR="00411CDD" w:rsidRDefault="00411CDD" w:rsidP="00411CDD">
      <w:pPr>
        <w:pStyle w:val="PlainText"/>
      </w:pPr>
      <w:r>
        <w:t>Tier 4</w:t>
      </w:r>
    </w:p>
    <w:p w:rsidR="00411CDD" w:rsidRDefault="00C70601" w:rsidP="00411CDD">
      <w:pPr>
        <w:pStyle w:val="PlainText"/>
      </w:pPr>
      <w:r>
        <w:t>P</w:t>
      </w:r>
      <w:r w:rsidR="00411CDD">
        <w:t>ower emergency low spill</w:t>
      </w:r>
    </w:p>
    <w:p w:rsidR="00411CDD" w:rsidRDefault="00411CDD" w:rsidP="00411CDD">
      <w:pPr>
        <w:pStyle w:val="PlainText"/>
      </w:pPr>
      <w:r>
        <w:t>Spillway weir(s) only at LGR, LGS, LMN, IHR, MCN, JDA, and sur</w:t>
      </w:r>
      <w:r w:rsidR="00DD4F4A">
        <w:t>face passage with 20% TDA and 75</w:t>
      </w:r>
      <w:r>
        <w:t>Kcfs BON</w:t>
      </w:r>
    </w:p>
    <w:p w:rsidR="00411CDD" w:rsidRDefault="00411CDD" w:rsidP="00411CDD">
      <w:pPr>
        <w:pStyle w:val="PlainText"/>
      </w:pPr>
    </w:p>
    <w:p w:rsidR="00411CDD" w:rsidRDefault="00411CDD" w:rsidP="00411CDD">
      <w:pPr>
        <w:pStyle w:val="PlainText"/>
      </w:pPr>
      <w:r>
        <w:t>Tier 5</w:t>
      </w:r>
    </w:p>
    <w:p w:rsidR="00411CDD" w:rsidRDefault="00C70601" w:rsidP="00411CDD">
      <w:pPr>
        <w:pStyle w:val="PlainText"/>
      </w:pPr>
      <w:r>
        <w:t>P</w:t>
      </w:r>
      <w:r w:rsidR="00411CDD">
        <w:t xml:space="preserve">ower emergency </w:t>
      </w:r>
      <w:r>
        <w:t xml:space="preserve">surface only </w:t>
      </w:r>
      <w:r w:rsidR="00411CDD">
        <w:t>spill</w:t>
      </w:r>
    </w:p>
    <w:p w:rsidR="00411CDD" w:rsidRDefault="00DD4F4A" w:rsidP="00411CDD">
      <w:pPr>
        <w:pStyle w:val="PlainText"/>
      </w:pPr>
      <w:r>
        <w:t xml:space="preserve">Surface Spillway </w:t>
      </w:r>
      <w:proofErr w:type="spellStart"/>
      <w:r>
        <w:t>Wiers</w:t>
      </w:r>
      <w:proofErr w:type="spellEnd"/>
      <w:r>
        <w:t xml:space="preserve"> only - </w:t>
      </w:r>
      <w:proofErr w:type="spellStart"/>
      <w:r w:rsidR="00411CDD">
        <w:t>LGR</w:t>
      </w:r>
      <w:proofErr w:type="spellEnd"/>
      <w:r w:rsidR="00411CDD">
        <w:t>, LGS, LMN, IHR, MCN,</w:t>
      </w:r>
      <w:r>
        <w:t xml:space="preserve"> JDA, 50 kcfs at </w:t>
      </w:r>
      <w:r w:rsidR="00411CDD">
        <w:t>BON</w:t>
      </w:r>
    </w:p>
    <w:p w:rsidR="00411CDD" w:rsidRDefault="00411CDD" w:rsidP="00411CDD">
      <w:pPr>
        <w:pStyle w:val="PlainText"/>
      </w:pPr>
    </w:p>
    <w:p w:rsidR="00411CDD" w:rsidRDefault="00411CDD" w:rsidP="00411CDD">
      <w:pPr>
        <w:pStyle w:val="PlainText"/>
      </w:pPr>
      <w:r>
        <w:t>Tier 6</w:t>
      </w:r>
    </w:p>
    <w:p w:rsidR="00411CDD" w:rsidRDefault="00C70601" w:rsidP="00411CDD">
      <w:pPr>
        <w:pStyle w:val="PlainText"/>
      </w:pPr>
      <w:r>
        <w:t>P</w:t>
      </w:r>
      <w:r w:rsidR="00411CDD">
        <w:t>ower emergency No spill</w:t>
      </w:r>
    </w:p>
    <w:p w:rsidR="00DD4F4A" w:rsidRDefault="00411CDD" w:rsidP="00411CDD">
      <w:pPr>
        <w:pStyle w:val="PlainText"/>
      </w:pPr>
      <w:r>
        <w:t xml:space="preserve">Order: LGR, LGS, LMN, IHR, MCN, JDA, </w:t>
      </w:r>
      <w:r w:rsidR="00DD4F4A">
        <w:t>TDA, BON</w:t>
      </w:r>
    </w:p>
    <w:p w:rsidR="00DD4F4A" w:rsidRDefault="00DD4F4A" w:rsidP="00411CDD">
      <w:pPr>
        <w:pStyle w:val="PlainText"/>
      </w:pPr>
    </w:p>
    <w:p w:rsidR="00DD4F4A" w:rsidRDefault="00DD4F4A" w:rsidP="00411CDD">
      <w:pPr>
        <w:pStyle w:val="PlainText"/>
      </w:pPr>
      <w:r>
        <w:t>Tier 7</w:t>
      </w:r>
    </w:p>
    <w:p w:rsidR="00DD4F4A" w:rsidRDefault="00DD4F4A" w:rsidP="00411CDD">
      <w:pPr>
        <w:pStyle w:val="PlainText"/>
      </w:pPr>
      <w:r>
        <w:t>Shut o</w:t>
      </w:r>
      <w:r w:rsidR="00C70601">
        <w:t>f</w:t>
      </w:r>
      <w:r>
        <w:t>f sluiceways at TDA, Bonn PH1 first then Bonn CC</w:t>
      </w:r>
    </w:p>
    <w:p w:rsidR="00D63CB9" w:rsidRDefault="00D63CB9">
      <w:pPr>
        <w:rPr>
          <w:rFonts w:ascii="Times New Roman" w:hAnsi="Times New Roman" w:cs="Times New Roman"/>
        </w:rPr>
      </w:pPr>
    </w:p>
    <w:p w:rsidR="0069046C" w:rsidRDefault="00690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9046C" w:rsidRDefault="0069046C">
      <w:pPr>
        <w:rPr>
          <w:rFonts w:ascii="Times New Roman" w:hAnsi="Times New Roman" w:cs="Times New Roman"/>
        </w:rPr>
      </w:pPr>
    </w:p>
    <w:p w:rsidR="006B7035" w:rsidRPr="00FD514F" w:rsidRDefault="006B7035">
      <w:pPr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FD514F">
        <w:rPr>
          <w:rFonts w:ascii="Times New Roman" w:hAnsi="Times New Roman" w:cs="Times New Roman"/>
          <w:b/>
          <w:sz w:val="36"/>
          <w:szCs w:val="36"/>
          <w:vertAlign w:val="subscript"/>
        </w:rPr>
        <w:t>Sept-March period</w:t>
      </w:r>
    </w:p>
    <w:p w:rsidR="006B7035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JDA i</w:t>
      </w:r>
      <w:r w:rsidR="006B7035" w:rsidRPr="00FD514F">
        <w:rPr>
          <w:rFonts w:ascii="Times New Roman" w:hAnsi="Times New Roman" w:cs="Times New Roman"/>
        </w:rPr>
        <w:t>ncrease generation outside 1% up to full load</w:t>
      </w:r>
    </w:p>
    <w:p w:rsidR="00450DDF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JDA shutoff adult attraction flow</w:t>
      </w:r>
    </w:p>
    <w:p w:rsidR="006B7035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MCN i</w:t>
      </w:r>
      <w:r w:rsidR="006B7035" w:rsidRPr="00FD514F">
        <w:rPr>
          <w:rFonts w:ascii="Times New Roman" w:hAnsi="Times New Roman" w:cs="Times New Roman"/>
        </w:rPr>
        <w:t>ncrease generation outside 1% up to full load.</w:t>
      </w:r>
    </w:p>
    <w:p w:rsidR="006B7035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TDA increase generation outside 1% up to full load</w:t>
      </w:r>
    </w:p>
    <w:p w:rsidR="008C22D1" w:rsidRPr="00FD514F" w:rsidRDefault="008C22D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TDA shut off sluiceway</w:t>
      </w:r>
    </w:p>
    <w:p w:rsidR="00450DDF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BON increase generation outside 1% up to full load</w:t>
      </w:r>
    </w:p>
    <w:p w:rsidR="00450DDF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 xml:space="preserve">BON </w:t>
      </w:r>
      <w:r w:rsidR="008C22D1" w:rsidRPr="00FD514F">
        <w:rPr>
          <w:rFonts w:ascii="Times New Roman" w:hAnsi="Times New Roman" w:cs="Times New Roman"/>
        </w:rPr>
        <w:t xml:space="preserve">shutoff </w:t>
      </w:r>
      <w:r w:rsidRPr="00FD514F">
        <w:rPr>
          <w:rFonts w:ascii="Times New Roman" w:hAnsi="Times New Roman" w:cs="Times New Roman"/>
        </w:rPr>
        <w:t>adult attraction flow</w:t>
      </w:r>
    </w:p>
    <w:p w:rsidR="008C22D1" w:rsidRPr="00FD514F" w:rsidRDefault="008C22D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BON shut off sluiceway</w:t>
      </w:r>
    </w:p>
    <w:p w:rsidR="008C22D1" w:rsidRPr="00FD514F" w:rsidRDefault="008C22D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HGH &amp; LIB modify ramping rates</w:t>
      </w:r>
    </w:p>
    <w:p w:rsidR="00D810B7" w:rsidRPr="00FD514F" w:rsidRDefault="008C22D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 xml:space="preserve">HGH, LIB, DWR, ALF, GCL: increase project drafts </w:t>
      </w:r>
      <w:r w:rsidR="00623E3C" w:rsidRPr="00FD514F">
        <w:rPr>
          <w:rFonts w:ascii="Times New Roman" w:hAnsi="Times New Roman" w:cs="Times New Roman"/>
        </w:rPr>
        <w:t xml:space="preserve">which might impact spring refill  </w:t>
      </w:r>
    </w:p>
    <w:sectPr w:rsidR="00D810B7" w:rsidRPr="00FD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568C9"/>
    <w:multiLevelType w:val="hybridMultilevel"/>
    <w:tmpl w:val="DA06A118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5A"/>
    <w:rsid w:val="001237AF"/>
    <w:rsid w:val="00223CAB"/>
    <w:rsid w:val="002800E1"/>
    <w:rsid w:val="002A205A"/>
    <w:rsid w:val="0032377C"/>
    <w:rsid w:val="00327411"/>
    <w:rsid w:val="00391CE4"/>
    <w:rsid w:val="003927E3"/>
    <w:rsid w:val="00411CDD"/>
    <w:rsid w:val="00412FC8"/>
    <w:rsid w:val="00450DDF"/>
    <w:rsid w:val="00452D03"/>
    <w:rsid w:val="0048727A"/>
    <w:rsid w:val="004C0EB2"/>
    <w:rsid w:val="004E1638"/>
    <w:rsid w:val="005360C0"/>
    <w:rsid w:val="00542795"/>
    <w:rsid w:val="00623E3C"/>
    <w:rsid w:val="0069046C"/>
    <w:rsid w:val="006B7035"/>
    <w:rsid w:val="00740D76"/>
    <w:rsid w:val="0083418D"/>
    <w:rsid w:val="008C22D1"/>
    <w:rsid w:val="00955CE0"/>
    <w:rsid w:val="0097508A"/>
    <w:rsid w:val="00A574DC"/>
    <w:rsid w:val="00AB09E4"/>
    <w:rsid w:val="00B152CD"/>
    <w:rsid w:val="00B858C4"/>
    <w:rsid w:val="00BB2512"/>
    <w:rsid w:val="00C0741E"/>
    <w:rsid w:val="00C70601"/>
    <w:rsid w:val="00CA2792"/>
    <w:rsid w:val="00D63CB9"/>
    <w:rsid w:val="00D810B7"/>
    <w:rsid w:val="00DD4F4A"/>
    <w:rsid w:val="00E275A9"/>
    <w:rsid w:val="00F627F3"/>
    <w:rsid w:val="00F67112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F5528-096C-41DF-A93C-20F8298E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5A9"/>
    <w:pPr>
      <w:widowControl w:val="0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1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1C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14F30-9A9C-42A4-BD72-24989D77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 User</dc:creator>
  <cp:lastModifiedBy>G0PDWLSW</cp:lastModifiedBy>
  <cp:revision>2</cp:revision>
  <dcterms:created xsi:type="dcterms:W3CDTF">2018-04-03T21:39:00Z</dcterms:created>
  <dcterms:modified xsi:type="dcterms:W3CDTF">2018-04-03T21:39:00Z</dcterms:modified>
</cp:coreProperties>
</file>