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3B68" w14:textId="77777777" w:rsidR="00120E57" w:rsidRDefault="00120E57" w:rsidP="00120E57">
      <w:pPr>
        <w:jc w:val="right"/>
      </w:pPr>
      <w:bookmarkStart w:id="0" w:name="_Toc52201514"/>
      <w:r>
        <w:t>2026 Water Management Plan</w:t>
      </w:r>
    </w:p>
    <w:p w14:paraId="3303E092" w14:textId="77777777" w:rsidR="00120E57" w:rsidRDefault="00120E57" w:rsidP="00120E57">
      <w:pPr>
        <w:jc w:val="right"/>
      </w:pPr>
      <w:r>
        <w:t>September 30, 2025</w:t>
      </w:r>
    </w:p>
    <w:p w14:paraId="34CFC412" w14:textId="77777777" w:rsidR="00120E57" w:rsidRDefault="00120E57" w:rsidP="00120E57">
      <w:pPr>
        <w:jc w:val="right"/>
      </w:pPr>
    </w:p>
    <w:p w14:paraId="0CC4E71B" w14:textId="1F6C0CDE" w:rsidR="00120E57" w:rsidRDefault="00120E57" w:rsidP="00120E57">
      <w:pPr>
        <w:jc w:val="right"/>
      </w:pPr>
      <w:r w:rsidRPr="00120E57">
        <w:t>https://public.crohms.org/tmt/documents/wmp/2026/</w:t>
      </w:r>
    </w:p>
    <w:p w14:paraId="28CB79CA" w14:textId="6974438C" w:rsidR="00120E57" w:rsidRDefault="00120E57" w:rsidP="00120E57">
      <w:pPr>
        <w:jc w:val="right"/>
      </w:pPr>
      <w:r>
        <w:t>Page 42</w:t>
      </w:r>
    </w:p>
    <w:p w14:paraId="48C798BD" w14:textId="36CB0812" w:rsidR="00120E57" w:rsidRPr="00981B08" w:rsidRDefault="00120E57" w:rsidP="00120E57">
      <w:pPr>
        <w:pStyle w:val="Heading3"/>
      </w:pPr>
      <w:r>
        <w:t>6.10.2  Snake River Zero Generation</w:t>
      </w:r>
      <w:bookmarkEnd w:id="0"/>
    </w:p>
    <w:p w14:paraId="2C3B6254" w14:textId="77777777" w:rsidR="00120E57" w:rsidRDefault="00120E57" w:rsidP="00120E57">
      <w:pPr>
        <w:rPr>
          <w:rFonts w:eastAsiaTheme="minorHAnsi"/>
        </w:rPr>
      </w:pPr>
      <w:bookmarkStart w:id="1" w:name="_Toc175363599"/>
      <w:bookmarkStart w:id="2" w:name="_Toc376160342"/>
      <w:bookmarkStart w:id="3"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ROD will no longer commence as early as October 15, and will instead commence once the previously defined implementation trigger of “few, if any” actively migrating anadromous fish (as described in SOR 2005-22) has been met</w:t>
      </w:r>
      <w:r>
        <w:rPr>
          <w:rFonts w:eastAsiaTheme="minorHAnsi"/>
        </w:rPr>
        <w:t>.  T</w:t>
      </w:r>
      <w:r w:rsidRPr="007354EE">
        <w:rPr>
          <w:rFonts w:eastAsiaTheme="minorHAnsi"/>
        </w:rPr>
        <w: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7D37F7EB" w14:textId="77777777" w:rsidR="00120E57" w:rsidRPr="00597A6B" w:rsidRDefault="00120E57" w:rsidP="00120E57">
      <w:r w:rsidRPr="00597A6B">
        <w:t>Salmon Managers submitted System Operations Request (SOR) 2005-22 Snake River Zero Nighttime and Weekend Flow, to the Action Agencies (AA) on December 6, 2005.  The SOR may be found on the following website</w:t>
      </w:r>
      <w:r>
        <w:t>:</w:t>
      </w:r>
    </w:p>
    <w:p w14:paraId="672EF68B" w14:textId="77777777" w:rsidR="00120E57" w:rsidRDefault="00120E57" w:rsidP="00120E57">
      <w:hyperlink r:id="rId8" w:history="1">
        <w:r w:rsidRPr="00FF48D1">
          <w:rPr>
            <w:rStyle w:val="Hyperlink"/>
          </w:rPr>
          <w:t>http://pweb.crohms.org/tmt/sor/2005/2005-22.pdf</w:t>
        </w:r>
      </w:hyperlink>
    </w:p>
    <w:p w14:paraId="0FB51C39" w14:textId="77777777" w:rsidR="00120E57" w:rsidRPr="00597A6B" w:rsidRDefault="00120E57" w:rsidP="00120E57"/>
    <w:p w14:paraId="32087580" w14:textId="77777777" w:rsidR="00120E57" w:rsidRPr="00597A6B" w:rsidRDefault="00120E57" w:rsidP="00120E57">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09906B39" w14:textId="77777777" w:rsidR="00120E57" w:rsidRDefault="00120E57" w:rsidP="00120E57"/>
    <w:p w14:paraId="046E1445" w14:textId="77777777" w:rsidR="00120E57" w:rsidRDefault="00120E57" w:rsidP="00120E57">
      <w:r>
        <w:t xml:space="preserve">Table 15:  The Few Migrating Adult Criterion Trigger (SOR 2005-22)  </w:t>
      </w:r>
    </w:p>
    <w:tbl>
      <w:tblPr>
        <w:tblW w:w="0" w:type="auto"/>
        <w:tblInd w:w="180" w:type="dxa"/>
        <w:tblLayout w:type="fixed"/>
        <w:tblLook w:val="04A0" w:firstRow="1" w:lastRow="0" w:firstColumn="1" w:lastColumn="0" w:noHBand="0" w:noVBand="1"/>
      </w:tblPr>
      <w:tblGrid>
        <w:gridCol w:w="2800"/>
        <w:gridCol w:w="2033"/>
        <w:gridCol w:w="2033"/>
      </w:tblGrid>
      <w:tr w:rsidR="00120E57" w:rsidRPr="00F55701" w14:paraId="1C93EE29" w14:textId="77777777" w:rsidTr="00C54889">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E0C5524" w14:textId="77777777" w:rsidR="00120E57" w:rsidRPr="0095141E" w:rsidRDefault="00120E57" w:rsidP="00C54889">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A2AF0CA" w14:textId="77777777" w:rsidR="00120E57" w:rsidRPr="0095141E" w:rsidRDefault="00120E57" w:rsidP="00C54889">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C643D64" w14:textId="77777777" w:rsidR="00120E57" w:rsidRPr="0095141E" w:rsidRDefault="00120E57" w:rsidP="00C54889">
            <w:pPr>
              <w:keepNext/>
              <w:autoSpaceDE w:val="0"/>
              <w:autoSpaceDN w:val="0"/>
              <w:adjustRightInd w:val="0"/>
              <w:jc w:val="center"/>
              <w:rPr>
                <w:color w:val="000000"/>
                <w:sz w:val="20"/>
                <w:szCs w:val="20"/>
              </w:rPr>
            </w:pPr>
            <w:r w:rsidRPr="0095141E">
              <w:rPr>
                <w:b/>
                <w:bCs/>
                <w:color w:val="000000"/>
                <w:sz w:val="20"/>
                <w:szCs w:val="20"/>
              </w:rPr>
              <w:t>Few criteria&lt; #</w:t>
            </w:r>
          </w:p>
        </w:tc>
      </w:tr>
      <w:tr w:rsidR="00120E57" w:rsidRPr="00F55701" w14:paraId="2318B4DC"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22463A6"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0FBF74"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C30B18F"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10 </w:t>
            </w:r>
          </w:p>
        </w:tc>
      </w:tr>
      <w:tr w:rsidR="00120E57" w:rsidRPr="00F55701" w14:paraId="31B76FBF"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5DF23C8"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C6A8C"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46407438"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20 </w:t>
            </w:r>
          </w:p>
        </w:tc>
      </w:tr>
      <w:tr w:rsidR="00120E57" w:rsidRPr="00F55701" w14:paraId="74A4A5DB"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546BF56"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62734FC"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9289339"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35 </w:t>
            </w:r>
          </w:p>
        </w:tc>
      </w:tr>
      <w:tr w:rsidR="00120E57" w:rsidRPr="00F55701" w14:paraId="6885EF27"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B7BAC94"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298AADF"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5DFDF4A"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50 </w:t>
            </w:r>
          </w:p>
        </w:tc>
      </w:tr>
      <w:tr w:rsidR="00120E57" w:rsidRPr="00F55701" w14:paraId="6693746B"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753490C5"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CA2BB17"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9F0665B"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65 </w:t>
            </w:r>
          </w:p>
        </w:tc>
      </w:tr>
      <w:tr w:rsidR="00120E57" w:rsidRPr="00F55701" w14:paraId="56EEDBC5"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1E61206"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24E5243"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1B6A544" w14:textId="77777777" w:rsidR="00120E57" w:rsidRPr="0095141E" w:rsidRDefault="00120E57" w:rsidP="00C54889">
            <w:pPr>
              <w:keepNext/>
              <w:autoSpaceDE w:val="0"/>
              <w:autoSpaceDN w:val="0"/>
              <w:adjustRightInd w:val="0"/>
              <w:jc w:val="center"/>
              <w:rPr>
                <w:color w:val="000000"/>
                <w:sz w:val="20"/>
                <w:szCs w:val="20"/>
              </w:rPr>
            </w:pPr>
            <w:r w:rsidRPr="0095141E">
              <w:rPr>
                <w:color w:val="000000"/>
                <w:sz w:val="20"/>
                <w:szCs w:val="20"/>
              </w:rPr>
              <w:t xml:space="preserve">80 </w:t>
            </w:r>
          </w:p>
        </w:tc>
      </w:tr>
      <w:tr w:rsidR="00120E57" w:rsidRPr="00F55701" w14:paraId="4390E028" w14:textId="77777777" w:rsidTr="00C54889">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720C02" w14:textId="77777777" w:rsidR="00120E57" w:rsidRPr="0095141E" w:rsidRDefault="00120E57" w:rsidP="00C54889">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4643615F" w14:textId="77777777" w:rsidR="00120E57" w:rsidRPr="0095141E" w:rsidRDefault="00120E57" w:rsidP="00C54889">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21FB5FA4" w14:textId="77777777" w:rsidR="00120E57" w:rsidRPr="0095141E" w:rsidRDefault="00120E57" w:rsidP="00C54889">
            <w:pPr>
              <w:jc w:val="center"/>
              <w:rPr>
                <w:color w:val="000000"/>
                <w:sz w:val="20"/>
                <w:szCs w:val="20"/>
              </w:rPr>
            </w:pPr>
            <w:r w:rsidRPr="0095141E">
              <w:rPr>
                <w:color w:val="000000"/>
                <w:sz w:val="20"/>
                <w:szCs w:val="20"/>
              </w:rPr>
              <w:t xml:space="preserve">100 </w:t>
            </w:r>
          </w:p>
        </w:tc>
      </w:tr>
    </w:tbl>
    <w:p w14:paraId="27F4469C" w14:textId="77777777" w:rsidR="00120E57" w:rsidRDefault="00120E57" w:rsidP="00120E57"/>
    <w:p w14:paraId="61458D9C" w14:textId="77777777" w:rsidR="00120E57" w:rsidRPr="00933C76" w:rsidRDefault="00120E57" w:rsidP="00120E57">
      <w:pPr>
        <w:pStyle w:val="BodyText"/>
        <w:kinsoku w:val="0"/>
        <w:overflowPunct w:val="0"/>
        <w:ind w:right="146"/>
        <w:rPr>
          <w:rFonts w:ascii="TimesNewRoman" w:hAnsi="TimesNewRoman"/>
          <w:color w:val="auto"/>
          <w:sz w:val="24"/>
          <w:u w:val="none"/>
        </w:rPr>
      </w:pPr>
      <w:r w:rsidRPr="00933C76">
        <w:rPr>
          <w:rFonts w:ascii="TimesNewRoman" w:hAnsi="TimesNewRoman"/>
          <w:color w:val="auto"/>
          <w:sz w:val="24"/>
          <w:u w:val="none"/>
        </w:rPr>
        <w:t xml:space="preserve">System Operations Request 2005-22 defined “few” migrating adults; this SOR has guided operations through 2019. </w:t>
      </w:r>
      <w:r>
        <w:rPr>
          <w:rFonts w:ascii="TimesNewRoman" w:hAnsi="TimesNewRoman"/>
          <w:color w:val="auto"/>
          <w:sz w:val="24"/>
          <w:u w:val="none"/>
        </w:rPr>
        <w:t xml:space="preserve"> </w:t>
      </w:r>
      <w:r w:rsidRPr="00933C76">
        <w:rPr>
          <w:rFonts w:ascii="TimesNewRoman" w:hAnsi="TimesNewRoman"/>
          <w:color w:val="auto"/>
          <w:sz w:val="24"/>
          <w:u w:val="none"/>
        </w:rPr>
        <w:t>Over time, these criteria have been slightly modified to include:</w:t>
      </w:r>
    </w:p>
    <w:p w14:paraId="445689B1" w14:textId="77777777" w:rsidR="00120E57" w:rsidRDefault="00120E57" w:rsidP="00120E57">
      <w:pPr>
        <w:pStyle w:val="BodyText"/>
        <w:kinsoku w:val="0"/>
        <w:overflowPunct w:val="0"/>
        <w:spacing w:before="1"/>
        <w:rPr>
          <w:sz w:val="23"/>
          <w:szCs w:val="23"/>
        </w:rPr>
      </w:pPr>
    </w:p>
    <w:p w14:paraId="46ED13FB" w14:textId="77777777" w:rsidR="00120E57" w:rsidRDefault="00120E57" w:rsidP="00120E57">
      <w:pPr>
        <w:pStyle w:val="ListParagraph"/>
        <w:numPr>
          <w:ilvl w:val="0"/>
          <w:numId w:val="1"/>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9" w:history="1">
        <w:r>
          <w:rPr>
            <w:color w:val="0462C1"/>
            <w:u w:val="single"/>
          </w:rPr>
          <w:t>https://www.fpc.org/currentdaily/HistFishTwo_7day-ytd_Adults.htm</w:t>
        </w:r>
      </w:hyperlink>
      <w:r>
        <w:rPr>
          <w:color w:val="000000"/>
        </w:rPr>
        <w:t>).</w:t>
      </w:r>
    </w:p>
    <w:p w14:paraId="1024655E" w14:textId="77777777" w:rsidR="00120E57" w:rsidRDefault="00120E57" w:rsidP="00120E57">
      <w:pPr>
        <w:pStyle w:val="ListParagraph"/>
        <w:numPr>
          <w:ilvl w:val="0"/>
          <w:numId w:val="1"/>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5F51912D" w14:textId="77777777" w:rsidR="00120E57" w:rsidRDefault="00120E57" w:rsidP="00120E57">
      <w:pPr>
        <w:pStyle w:val="ListParagraph"/>
        <w:numPr>
          <w:ilvl w:val="0"/>
          <w:numId w:val="1"/>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573B56DE" w14:textId="77777777" w:rsidR="00120E57" w:rsidRDefault="00120E57" w:rsidP="00120E57">
      <w:pPr>
        <w:pStyle w:val="ListParagraph"/>
        <w:numPr>
          <w:ilvl w:val="0"/>
          <w:numId w:val="1"/>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4D2BEDC2" w14:textId="77777777" w:rsidR="00120E57" w:rsidRDefault="00120E57" w:rsidP="00120E57">
      <w:r>
        <w:lastRenderedPageBreak/>
        <w:t>During the period between the date the criteria above is met and end of February discharge at the four lower Snake River CRS projects may be reduced discharge to the project minimum discharge.  The reduction in discharge is limited to the nighttime hours identified below.  The utilization of this flexibility will be consistent with the historical use of the operation during the months of December through February.</w:t>
      </w:r>
    </w:p>
    <w:p w14:paraId="294D0564" w14:textId="77777777" w:rsidR="00120E57" w:rsidRDefault="00120E57" w:rsidP="00120E57"/>
    <w:p w14:paraId="0AD4A5F9" w14:textId="77777777" w:rsidR="00120E57" w:rsidRPr="00A009D5" w:rsidRDefault="00120E57" w:rsidP="00120E57">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1AEFF05D" w14:textId="77777777" w:rsidR="00120E57" w:rsidRPr="000C1630" w:rsidRDefault="00120E57" w:rsidP="00120E57">
      <w:pPr>
        <w:pStyle w:val="HTMLPreformatted"/>
        <w:rPr>
          <w:rFonts w:ascii="Times New Roman" w:hAnsi="Times New Roman"/>
          <w:color w:val="000000"/>
          <w:sz w:val="24"/>
          <w:szCs w:val="24"/>
        </w:rPr>
      </w:pPr>
    </w:p>
    <w:p w14:paraId="01E4EE64" w14:textId="77777777" w:rsidR="00120E57" w:rsidRPr="00413804" w:rsidRDefault="00120E57" w:rsidP="00120E57">
      <w:pPr>
        <w:pStyle w:val="HTMLPreformatted"/>
        <w:pBdr>
          <w:top w:val="single" w:sz="4" w:space="1" w:color="auto"/>
          <w:bottom w:val="single" w:sz="4" w:space="1" w:color="auto"/>
        </w:pBdr>
        <w:rPr>
          <w:rFonts w:ascii="Times New Roman" w:hAnsi="Times New Roman"/>
          <w:color w:val="000000"/>
          <w:sz w:val="24"/>
        </w:rPr>
      </w:pPr>
      <w:r w:rsidRPr="00FF05C6">
        <w:rPr>
          <w:rFonts w:ascii="Times New Roman" w:hAnsi="Times New Roman"/>
          <w:color w:val="000000"/>
          <w:sz w:val="24"/>
        </w:rPr>
        <w:t>DATES</w:t>
      </w:r>
      <w:r w:rsidRPr="00413804">
        <w:rPr>
          <w:rFonts w:ascii="Times New Roman" w:hAnsi="Times New Roman"/>
          <w:color w:val="000000"/>
          <w:sz w:val="24"/>
        </w:rPr>
        <w:tab/>
      </w:r>
      <w:r w:rsidRPr="00413804">
        <w:rPr>
          <w:rFonts w:ascii="Times New Roman" w:hAnsi="Times New Roman"/>
          <w:color w:val="000000"/>
          <w:sz w:val="24"/>
        </w:rPr>
        <w:tab/>
      </w:r>
      <w:r w:rsidRPr="00413804">
        <w:rPr>
          <w:rFonts w:ascii="Times New Roman" w:hAnsi="Times New Roman"/>
          <w:color w:val="000000"/>
          <w:sz w:val="24"/>
        </w:rPr>
        <w:tab/>
      </w:r>
      <w:r w:rsidRPr="00FF05C6">
        <w:rPr>
          <w:rFonts w:ascii="Times New Roman" w:hAnsi="Times New Roman"/>
          <w:color w:val="000000"/>
          <w:sz w:val="24"/>
        </w:rPr>
        <w:t>“NIGHTTIME” HOURS FOR ZERO GEN</w:t>
      </w:r>
    </w:p>
    <w:p w14:paraId="469A1432" w14:textId="77777777" w:rsidR="00120E57" w:rsidRPr="000C1630" w:rsidRDefault="00120E57" w:rsidP="00120E57">
      <w:pPr>
        <w:pStyle w:val="HTMLPreformatted"/>
        <w:rPr>
          <w:rFonts w:ascii="Times New Roman" w:hAnsi="Times New Roman"/>
          <w:color w:val="000000"/>
          <w:sz w:val="24"/>
          <w:szCs w:val="24"/>
        </w:rPr>
      </w:pPr>
    </w:p>
    <w:p w14:paraId="20059FE7" w14:textId="77777777" w:rsidR="00120E57" w:rsidRPr="000C1630" w:rsidRDefault="00120E57" w:rsidP="00120E57">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12D43451" w14:textId="77777777" w:rsidR="00120E57" w:rsidRPr="000C1630" w:rsidRDefault="00120E57" w:rsidP="00120E57">
      <w:pPr>
        <w:pStyle w:val="HTMLPreformatted"/>
        <w:rPr>
          <w:rFonts w:ascii="Times New Roman" w:hAnsi="Times New Roman"/>
          <w:color w:val="000000"/>
        </w:rPr>
      </w:pPr>
    </w:p>
    <w:p w14:paraId="71E7C145" w14:textId="77777777" w:rsidR="00120E57" w:rsidRPr="000C1630" w:rsidRDefault="00120E57" w:rsidP="00120E57">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62EE5698" w14:textId="77777777" w:rsidR="00120E57" w:rsidRPr="000C1630" w:rsidRDefault="00120E57" w:rsidP="00120E57">
      <w:pPr>
        <w:pStyle w:val="HTMLPreformatted"/>
        <w:rPr>
          <w:rFonts w:ascii="Times New Roman" w:hAnsi="Times New Roman"/>
          <w:color w:val="000000"/>
          <w:sz w:val="24"/>
          <w:szCs w:val="24"/>
        </w:rPr>
      </w:pPr>
    </w:p>
    <w:p w14:paraId="6C7D0006" w14:textId="77777777" w:rsidR="00120E57" w:rsidRPr="000C1630" w:rsidRDefault="00120E57" w:rsidP="00120E57">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1276DB39" w14:textId="77777777" w:rsidR="00120E57" w:rsidRPr="000C1630" w:rsidRDefault="00120E57" w:rsidP="00120E57">
      <w:pPr>
        <w:pStyle w:val="HTMLPreformatted"/>
        <w:rPr>
          <w:rFonts w:ascii="Times New Roman" w:hAnsi="Times New Roman"/>
          <w:color w:val="000000"/>
        </w:rPr>
      </w:pPr>
    </w:p>
    <w:p w14:paraId="74C4C2B1" w14:textId="77777777" w:rsidR="00120E57" w:rsidRPr="00F00F2F" w:rsidRDefault="00120E57" w:rsidP="00120E57">
      <w:r w:rsidRPr="00F00F2F">
        <w:rPr>
          <w:color w:val="000000"/>
        </w:rPr>
        <w:t xml:space="preserve">Sources for definitions and computation of nighttime hours:  </w:t>
      </w:r>
      <w:hyperlink r:id="rId10" w:history="1">
        <w:r w:rsidRPr="00F00F2F">
          <w:rPr>
            <w:rStyle w:val="Hyperlink"/>
          </w:rPr>
          <w:t>https://www.esrl.noaa.gov/gmd/grad/solcalc/glossary.html</w:t>
        </w:r>
      </w:hyperlink>
    </w:p>
    <w:p w14:paraId="3B6DE7DA" w14:textId="77777777" w:rsidR="00120E57" w:rsidRPr="001D6336" w:rsidRDefault="00120E57" w:rsidP="00120E57">
      <w:pPr>
        <w:autoSpaceDE w:val="0"/>
        <w:autoSpaceDN w:val="0"/>
        <w:adjustRightInd w:val="0"/>
      </w:pPr>
      <w:hyperlink r:id="rId11" w:history="1">
        <w:r w:rsidRPr="00F00F2F">
          <w:rPr>
            <w:rStyle w:val="Hyperlink"/>
          </w:rPr>
          <w:t>https://www.esrl.noaa.gov/gmd/grad/solcalc/calcdetails.html</w:t>
        </w:r>
      </w:hyperlink>
    </w:p>
    <w:bookmarkEnd w:id="1"/>
    <w:bookmarkEnd w:id="2"/>
    <w:bookmarkEnd w:id="3"/>
    <w:p w14:paraId="6FE3986D" w14:textId="77777777" w:rsidR="00941F27" w:rsidRDefault="00941F27"/>
    <w:p w14:paraId="6799DA2D" w14:textId="77777777" w:rsidR="00120E57" w:rsidRDefault="00120E57"/>
    <w:p w14:paraId="6AD8BF15" w14:textId="00AB43A0" w:rsidR="00120E57" w:rsidRDefault="00CF0BBF" w:rsidP="00CF0BBF">
      <w:pPr>
        <w:jc w:val="right"/>
      </w:pPr>
      <w:r>
        <w:t>December 4, 2025</w:t>
      </w:r>
    </w:p>
    <w:p w14:paraId="68E9B9DE" w14:textId="1E540E9C" w:rsidR="00CF0BBF" w:rsidRDefault="00CF0BBF" w:rsidP="00CF0BBF">
      <w:pPr>
        <w:jc w:val="right"/>
      </w:pPr>
      <w:r>
        <w:t>Excerpt from the NOAA Fisheries memo emailed to the Technical Management Team</w:t>
      </w:r>
    </w:p>
    <w:p w14:paraId="0E40F084" w14:textId="74EEB91E" w:rsidR="00CF0BBF" w:rsidRPr="00CF0BBF" w:rsidRDefault="00CF0BBF" w:rsidP="00CF0BBF">
      <w:pPr>
        <w:widowControl w:val="0"/>
        <w:autoSpaceDE w:val="0"/>
        <w:autoSpaceDN w:val="0"/>
        <w:spacing w:before="158" w:line="259" w:lineRule="auto"/>
        <w:ind w:right="89"/>
      </w:pPr>
      <w:r>
        <w:rPr>
          <w:color w:val="212121"/>
        </w:rPr>
        <w:t>“…G</w:t>
      </w:r>
      <w:r w:rsidRPr="00CF0BBF">
        <w:rPr>
          <w:color w:val="212121"/>
        </w:rPr>
        <w:t>iven</w:t>
      </w:r>
      <w:r w:rsidRPr="00CF0BBF">
        <w:rPr>
          <w:color w:val="212121"/>
          <w:spacing w:val="-3"/>
        </w:rPr>
        <w:t xml:space="preserve"> </w:t>
      </w:r>
      <w:r w:rsidRPr="00CF0BBF">
        <w:rPr>
          <w:color w:val="212121"/>
        </w:rPr>
        <w:t>the</w:t>
      </w:r>
      <w:r w:rsidRPr="00CF0BBF">
        <w:rPr>
          <w:color w:val="212121"/>
          <w:spacing w:val="-3"/>
        </w:rPr>
        <w:t xml:space="preserve"> </w:t>
      </w:r>
      <w:r w:rsidRPr="00CF0BBF">
        <w:rPr>
          <w:color w:val="212121"/>
        </w:rPr>
        <w:t>cumulative</w:t>
      </w:r>
      <w:r w:rsidRPr="00CF0BBF">
        <w:rPr>
          <w:color w:val="212121"/>
          <w:spacing w:val="-3"/>
        </w:rPr>
        <w:t xml:space="preserve"> </w:t>
      </w:r>
      <w:r w:rsidRPr="00CF0BBF">
        <w:rPr>
          <w:color w:val="212121"/>
        </w:rPr>
        <w:t>counts</w:t>
      </w:r>
      <w:r w:rsidRPr="00CF0BBF">
        <w:rPr>
          <w:color w:val="212121"/>
          <w:spacing w:val="-2"/>
        </w:rPr>
        <w:t xml:space="preserve"> </w:t>
      </w:r>
      <w:r w:rsidRPr="00CF0BBF">
        <w:rPr>
          <w:color w:val="212121"/>
        </w:rPr>
        <w:t>(since</w:t>
      </w:r>
      <w:r w:rsidRPr="00CF0BBF">
        <w:rPr>
          <w:color w:val="212121"/>
          <w:spacing w:val="-3"/>
        </w:rPr>
        <w:t xml:space="preserve"> </w:t>
      </w:r>
      <w:r w:rsidRPr="00CF0BBF">
        <w:rPr>
          <w:color w:val="212121"/>
        </w:rPr>
        <w:t>count</w:t>
      </w:r>
      <w:r w:rsidRPr="00CF0BBF">
        <w:rPr>
          <w:color w:val="212121"/>
          <w:spacing w:val="-3"/>
        </w:rPr>
        <w:t xml:space="preserve"> </w:t>
      </w:r>
      <w:r w:rsidRPr="00CF0BBF">
        <w:rPr>
          <w:color w:val="212121"/>
        </w:rPr>
        <w:t>start</w:t>
      </w:r>
      <w:r w:rsidRPr="00CF0BBF">
        <w:rPr>
          <w:color w:val="212121"/>
          <w:spacing w:val="-3"/>
        </w:rPr>
        <w:t xml:space="preserve"> </w:t>
      </w:r>
      <w:r w:rsidRPr="00CF0BBF">
        <w:rPr>
          <w:color w:val="212121"/>
        </w:rPr>
        <w:t>date</w:t>
      </w:r>
      <w:r w:rsidRPr="00CF0BBF">
        <w:rPr>
          <w:color w:val="212121"/>
          <w:spacing w:val="-3"/>
        </w:rPr>
        <w:t xml:space="preserve"> </w:t>
      </w:r>
      <w:r w:rsidRPr="00CF0BBF">
        <w:rPr>
          <w:color w:val="212121"/>
        </w:rPr>
        <w:t>defined</w:t>
      </w:r>
      <w:r w:rsidRPr="00CF0BBF">
        <w:rPr>
          <w:color w:val="212121"/>
          <w:spacing w:val="-3"/>
        </w:rPr>
        <w:t xml:space="preserve"> </w:t>
      </w:r>
      <w:r w:rsidRPr="00CF0BBF">
        <w:rPr>
          <w:color w:val="212121"/>
        </w:rPr>
        <w:t>in</w:t>
      </w:r>
      <w:r w:rsidRPr="00CF0BBF">
        <w:rPr>
          <w:color w:val="212121"/>
          <w:spacing w:val="-3"/>
        </w:rPr>
        <w:t xml:space="preserve"> </w:t>
      </w:r>
      <w:r w:rsidRPr="00CF0BBF">
        <w:rPr>
          <w:color w:val="212121"/>
        </w:rPr>
        <w:t>the</w:t>
      </w:r>
      <w:r w:rsidRPr="00CF0BBF">
        <w:rPr>
          <w:color w:val="212121"/>
          <w:spacing w:val="-3"/>
        </w:rPr>
        <w:t xml:space="preserve"> </w:t>
      </w:r>
      <w:r w:rsidRPr="00CF0BBF">
        <w:rPr>
          <w:color w:val="212121"/>
        </w:rPr>
        <w:t>Water</w:t>
      </w:r>
      <w:r w:rsidRPr="00CF0BBF">
        <w:rPr>
          <w:color w:val="212121"/>
          <w:spacing w:val="-4"/>
        </w:rPr>
        <w:t xml:space="preserve"> </w:t>
      </w:r>
      <w:r w:rsidRPr="00CF0BBF">
        <w:rPr>
          <w:color w:val="212121"/>
        </w:rPr>
        <w:t>Management</w:t>
      </w:r>
      <w:r w:rsidRPr="00CF0BBF">
        <w:rPr>
          <w:color w:val="212121"/>
          <w:spacing w:val="-3"/>
        </w:rPr>
        <w:t xml:space="preserve"> </w:t>
      </w:r>
      <w:r w:rsidRPr="00CF0BBF">
        <w:rPr>
          <w:color w:val="212121"/>
        </w:rPr>
        <w:t>Plan;</w:t>
      </w:r>
      <w:r w:rsidRPr="00CF0BBF">
        <w:rPr>
          <w:color w:val="212121"/>
          <w:spacing w:val="-3"/>
        </w:rPr>
        <w:t xml:space="preserve"> </w:t>
      </w:r>
      <w:r w:rsidRPr="00CF0BBF">
        <w:rPr>
          <w:color w:val="212121"/>
        </w:rPr>
        <w:t>July 1)</w:t>
      </w:r>
      <w:r w:rsidRPr="00CF0BBF">
        <w:rPr>
          <w:color w:val="212121"/>
          <w:spacing w:val="-1"/>
        </w:rPr>
        <w:t xml:space="preserve"> </w:t>
      </w:r>
      <w:r w:rsidRPr="00CF0BBF">
        <w:rPr>
          <w:color w:val="212121"/>
        </w:rPr>
        <w:t>for</w:t>
      </w:r>
      <w:r w:rsidRPr="00CF0BBF">
        <w:rPr>
          <w:color w:val="212121"/>
          <w:spacing w:val="-2"/>
        </w:rPr>
        <w:t xml:space="preserve"> </w:t>
      </w:r>
      <w:r w:rsidRPr="00CF0BBF">
        <w:rPr>
          <w:color w:val="212121"/>
        </w:rPr>
        <w:t>steelhead at LWG</w:t>
      </w:r>
      <w:r w:rsidRPr="00CF0BBF">
        <w:rPr>
          <w:color w:val="212121"/>
          <w:vertAlign w:val="superscript"/>
        </w:rPr>
        <w:t>3</w:t>
      </w:r>
      <w:r w:rsidRPr="00CF0BBF">
        <w:rPr>
          <w:color w:val="212121"/>
        </w:rPr>
        <w:t>, the criteria</w:t>
      </w:r>
      <w:r w:rsidRPr="00CF0BBF">
        <w:rPr>
          <w:color w:val="212121"/>
          <w:spacing w:val="-2"/>
        </w:rPr>
        <w:t xml:space="preserve"> </w:t>
      </w:r>
      <w:r w:rsidRPr="00CF0BBF">
        <w:rPr>
          <w:color w:val="212121"/>
        </w:rPr>
        <w:t>defining</w:t>
      </w:r>
      <w:r w:rsidRPr="00CF0BBF">
        <w:rPr>
          <w:color w:val="212121"/>
          <w:spacing w:val="-3"/>
        </w:rPr>
        <w:t xml:space="preserve"> </w:t>
      </w:r>
      <w:r w:rsidRPr="00CF0BBF">
        <w:rPr>
          <w:color w:val="212121"/>
        </w:rPr>
        <w:t>“few”</w:t>
      </w:r>
      <w:r w:rsidRPr="00CF0BBF">
        <w:rPr>
          <w:color w:val="212121"/>
          <w:spacing w:val="-1"/>
        </w:rPr>
        <w:t xml:space="preserve"> </w:t>
      </w:r>
      <w:r w:rsidRPr="00CF0BBF">
        <w:rPr>
          <w:color w:val="212121"/>
        </w:rPr>
        <w:t>steelhead is 10 for</w:t>
      </w:r>
      <w:r w:rsidRPr="00CF0BBF">
        <w:rPr>
          <w:color w:val="212121"/>
          <w:spacing w:val="-1"/>
        </w:rPr>
        <w:t xml:space="preserve"> </w:t>
      </w:r>
      <w:r w:rsidRPr="00CF0BBF">
        <w:rPr>
          <w:color w:val="212121"/>
        </w:rPr>
        <w:t>unclipped</w:t>
      </w:r>
      <w:r w:rsidRPr="00CF0BBF">
        <w:rPr>
          <w:color w:val="212121"/>
          <w:spacing w:val="-1"/>
        </w:rPr>
        <w:t xml:space="preserve"> </w:t>
      </w:r>
      <w:r w:rsidRPr="00CF0BBF">
        <w:rPr>
          <w:color w:val="212121"/>
        </w:rPr>
        <w:t>steelhead and 35 for total steelhead in 2025. When the three-day average ladder count of fish is below the criterion defined for both unclipped and total steelhead, fishery co-managers consider that the definition for few migrating fish has been met.</w:t>
      </w:r>
    </w:p>
    <w:p w14:paraId="6C57BA6A" w14:textId="31ECB26C" w:rsidR="00CF0BBF" w:rsidRPr="00CF0BBF" w:rsidRDefault="00CF0BBF" w:rsidP="00CF0BBF">
      <w:pPr>
        <w:widowControl w:val="0"/>
        <w:autoSpaceDE w:val="0"/>
        <w:autoSpaceDN w:val="0"/>
        <w:spacing w:before="158" w:line="259" w:lineRule="auto"/>
      </w:pPr>
      <w:r w:rsidRPr="00CF0BBF">
        <w:rPr>
          <w:color w:val="212121"/>
        </w:rPr>
        <w:t>This memorandum notifies the USACE that as of December 2, 2025, the criterion for few migrating</w:t>
      </w:r>
      <w:r w:rsidRPr="00CF0BBF">
        <w:rPr>
          <w:color w:val="212121"/>
          <w:spacing w:val="-5"/>
        </w:rPr>
        <w:t xml:space="preserve"> </w:t>
      </w:r>
      <w:r w:rsidRPr="00CF0BBF">
        <w:rPr>
          <w:color w:val="212121"/>
        </w:rPr>
        <w:t>adult</w:t>
      </w:r>
      <w:r w:rsidRPr="00CF0BBF">
        <w:rPr>
          <w:color w:val="212121"/>
          <w:spacing w:val="-2"/>
        </w:rPr>
        <w:t xml:space="preserve"> </w:t>
      </w:r>
      <w:r w:rsidRPr="00CF0BBF">
        <w:rPr>
          <w:color w:val="212121"/>
        </w:rPr>
        <w:t>salmon was</w:t>
      </w:r>
      <w:r w:rsidRPr="00CF0BBF">
        <w:rPr>
          <w:color w:val="212121"/>
          <w:spacing w:val="-2"/>
        </w:rPr>
        <w:t xml:space="preserve"> </w:t>
      </w:r>
      <w:r w:rsidRPr="00CF0BBF">
        <w:rPr>
          <w:color w:val="212121"/>
        </w:rPr>
        <w:t>met. There</w:t>
      </w:r>
      <w:r w:rsidRPr="00CF0BBF">
        <w:rPr>
          <w:color w:val="212121"/>
          <w:spacing w:val="-3"/>
        </w:rPr>
        <w:t xml:space="preserve"> </w:t>
      </w:r>
      <w:r w:rsidRPr="00CF0BBF">
        <w:rPr>
          <w:color w:val="212121"/>
        </w:rPr>
        <w:t>can</w:t>
      </w:r>
      <w:r w:rsidRPr="00CF0BBF">
        <w:rPr>
          <w:color w:val="212121"/>
          <w:spacing w:val="-2"/>
        </w:rPr>
        <w:t xml:space="preserve"> </w:t>
      </w:r>
      <w:r w:rsidRPr="00CF0BBF">
        <w:rPr>
          <w:color w:val="212121"/>
        </w:rPr>
        <w:t>be</w:t>
      </w:r>
      <w:r w:rsidRPr="00CF0BBF">
        <w:rPr>
          <w:color w:val="212121"/>
          <w:spacing w:val="-3"/>
        </w:rPr>
        <w:t xml:space="preserve"> </w:t>
      </w:r>
      <w:r w:rsidRPr="00CF0BBF">
        <w:rPr>
          <w:color w:val="212121"/>
        </w:rPr>
        <w:t>a</w:t>
      </w:r>
      <w:r w:rsidRPr="00CF0BBF">
        <w:rPr>
          <w:color w:val="212121"/>
          <w:spacing w:val="-1"/>
        </w:rPr>
        <w:t xml:space="preserve"> </w:t>
      </w:r>
      <w:r w:rsidRPr="00CF0BBF">
        <w:rPr>
          <w:color w:val="212121"/>
        </w:rPr>
        <w:t>delay</w:t>
      </w:r>
      <w:r w:rsidRPr="00CF0BBF">
        <w:rPr>
          <w:color w:val="212121"/>
          <w:spacing w:val="-7"/>
        </w:rPr>
        <w:t xml:space="preserve"> </w:t>
      </w:r>
      <w:r w:rsidRPr="00CF0BBF">
        <w:rPr>
          <w:color w:val="212121"/>
        </w:rPr>
        <w:t>in</w:t>
      </w:r>
      <w:r w:rsidRPr="00CF0BBF">
        <w:rPr>
          <w:color w:val="212121"/>
          <w:spacing w:val="-2"/>
        </w:rPr>
        <w:t xml:space="preserve"> </w:t>
      </w:r>
      <w:r w:rsidRPr="00CF0BBF">
        <w:rPr>
          <w:color w:val="212121"/>
        </w:rPr>
        <w:t>notification</w:t>
      </w:r>
      <w:r w:rsidRPr="00CF0BBF">
        <w:rPr>
          <w:color w:val="212121"/>
          <w:spacing w:val="-2"/>
        </w:rPr>
        <w:t xml:space="preserve"> </w:t>
      </w:r>
      <w:r w:rsidRPr="00CF0BBF">
        <w:rPr>
          <w:color w:val="212121"/>
        </w:rPr>
        <w:t>due</w:t>
      </w:r>
      <w:r w:rsidRPr="00CF0BBF">
        <w:rPr>
          <w:color w:val="212121"/>
          <w:spacing w:val="-1"/>
        </w:rPr>
        <w:t xml:space="preserve"> </w:t>
      </w:r>
      <w:r w:rsidRPr="00CF0BBF">
        <w:rPr>
          <w:color w:val="212121"/>
        </w:rPr>
        <w:t>to</w:t>
      </w:r>
      <w:r w:rsidRPr="00CF0BBF">
        <w:rPr>
          <w:color w:val="212121"/>
          <w:spacing w:val="-2"/>
        </w:rPr>
        <w:t xml:space="preserve"> </w:t>
      </w:r>
      <w:r w:rsidRPr="00CF0BBF">
        <w:rPr>
          <w:color w:val="212121"/>
        </w:rPr>
        <w:t>a</w:t>
      </w:r>
      <w:r w:rsidRPr="00CF0BBF">
        <w:rPr>
          <w:color w:val="212121"/>
          <w:spacing w:val="-2"/>
        </w:rPr>
        <w:t xml:space="preserve"> </w:t>
      </w:r>
      <w:r w:rsidRPr="00CF0BBF">
        <w:rPr>
          <w:color w:val="212121"/>
        </w:rPr>
        <w:t>lag</w:t>
      </w:r>
      <w:r w:rsidRPr="00CF0BBF">
        <w:rPr>
          <w:color w:val="212121"/>
          <w:spacing w:val="-5"/>
        </w:rPr>
        <w:t xml:space="preserve"> </w:t>
      </w:r>
      <w:r w:rsidRPr="00CF0BBF">
        <w:rPr>
          <w:color w:val="212121"/>
        </w:rPr>
        <w:t>in video</w:t>
      </w:r>
      <w:r w:rsidRPr="00CF0BBF">
        <w:rPr>
          <w:color w:val="212121"/>
          <w:spacing w:val="-1"/>
        </w:rPr>
        <w:t xml:space="preserve"> </w:t>
      </w:r>
      <w:r w:rsidRPr="00CF0BBF">
        <w:rPr>
          <w:color w:val="212121"/>
        </w:rPr>
        <w:t>count data availability.</w:t>
      </w:r>
      <w:r>
        <w:rPr>
          <w:color w:val="212121"/>
        </w:rPr>
        <w:t>”</w:t>
      </w:r>
    </w:p>
    <w:p w14:paraId="7C9752C4" w14:textId="77777777" w:rsidR="00CF0BBF" w:rsidRPr="00CF0BBF" w:rsidRDefault="00CF0BBF" w:rsidP="00CF0BBF">
      <w:pPr>
        <w:widowControl w:val="0"/>
        <w:autoSpaceDE w:val="0"/>
        <w:autoSpaceDN w:val="0"/>
        <w:spacing w:before="11"/>
        <w:rPr>
          <w:sz w:val="13"/>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1602"/>
        <w:gridCol w:w="1604"/>
        <w:gridCol w:w="1608"/>
        <w:gridCol w:w="1601"/>
      </w:tblGrid>
      <w:tr w:rsidR="00CF0BBF" w:rsidRPr="00CF0BBF" w14:paraId="0A9BF668" w14:textId="77777777" w:rsidTr="00BF6109">
        <w:trPr>
          <w:trHeight w:val="828"/>
        </w:trPr>
        <w:tc>
          <w:tcPr>
            <w:tcW w:w="1402" w:type="dxa"/>
          </w:tcPr>
          <w:p w14:paraId="544F1686" w14:textId="77777777" w:rsidR="00CF0BBF" w:rsidRPr="00CF0BBF" w:rsidRDefault="00CF0BBF" w:rsidP="00CF0BBF">
            <w:pPr>
              <w:widowControl w:val="0"/>
              <w:autoSpaceDE w:val="0"/>
              <w:autoSpaceDN w:val="0"/>
              <w:spacing w:before="275"/>
              <w:rPr>
                <w:szCs w:val="22"/>
              </w:rPr>
            </w:pPr>
          </w:p>
          <w:p w14:paraId="791FED1D" w14:textId="77777777" w:rsidR="00CF0BBF" w:rsidRPr="00CF0BBF" w:rsidRDefault="00CF0BBF" w:rsidP="00CF0BBF">
            <w:pPr>
              <w:widowControl w:val="0"/>
              <w:autoSpaceDE w:val="0"/>
              <w:autoSpaceDN w:val="0"/>
              <w:spacing w:line="257" w:lineRule="exact"/>
              <w:ind w:left="107"/>
              <w:rPr>
                <w:szCs w:val="22"/>
              </w:rPr>
            </w:pPr>
            <w:r w:rsidRPr="00CF0BBF">
              <w:rPr>
                <w:spacing w:val="-2"/>
                <w:szCs w:val="22"/>
              </w:rPr>
              <w:t>Component</w:t>
            </w:r>
          </w:p>
        </w:tc>
        <w:tc>
          <w:tcPr>
            <w:tcW w:w="1602" w:type="dxa"/>
          </w:tcPr>
          <w:p w14:paraId="58D87AF4" w14:textId="77777777" w:rsidR="00CF0BBF" w:rsidRPr="00CF0BBF" w:rsidRDefault="00CF0BBF" w:rsidP="00CF0BBF">
            <w:pPr>
              <w:widowControl w:val="0"/>
              <w:autoSpaceDE w:val="0"/>
              <w:autoSpaceDN w:val="0"/>
              <w:spacing w:before="256" w:line="270" w:lineRule="atLeast"/>
              <w:ind w:left="107"/>
              <w:rPr>
                <w:szCs w:val="22"/>
              </w:rPr>
            </w:pPr>
            <w:r w:rsidRPr="00CF0BBF">
              <w:rPr>
                <w:spacing w:val="-2"/>
                <w:szCs w:val="22"/>
              </w:rPr>
              <w:t xml:space="preserve">Cumulative </w:t>
            </w:r>
            <w:r w:rsidRPr="00CF0BBF">
              <w:rPr>
                <w:szCs w:val="22"/>
              </w:rPr>
              <w:t>count</w:t>
            </w:r>
            <w:r w:rsidRPr="00CF0BBF">
              <w:rPr>
                <w:spacing w:val="-15"/>
                <w:szCs w:val="22"/>
              </w:rPr>
              <w:t xml:space="preserve"> </w:t>
            </w:r>
            <w:r w:rsidRPr="00CF0BBF">
              <w:rPr>
                <w:szCs w:val="22"/>
              </w:rPr>
              <w:t>at</w:t>
            </w:r>
            <w:r w:rsidRPr="00CF0BBF">
              <w:rPr>
                <w:spacing w:val="-15"/>
                <w:szCs w:val="22"/>
              </w:rPr>
              <w:t xml:space="preserve"> </w:t>
            </w:r>
            <w:r w:rsidRPr="00CF0BBF">
              <w:rPr>
                <w:szCs w:val="22"/>
              </w:rPr>
              <w:t>LWG</w:t>
            </w:r>
          </w:p>
        </w:tc>
        <w:tc>
          <w:tcPr>
            <w:tcW w:w="1604" w:type="dxa"/>
          </w:tcPr>
          <w:p w14:paraId="03F1C194" w14:textId="77777777" w:rsidR="00CF0BBF" w:rsidRPr="00CF0BBF" w:rsidRDefault="00CF0BBF" w:rsidP="00CF0BBF">
            <w:pPr>
              <w:widowControl w:val="0"/>
              <w:autoSpaceDE w:val="0"/>
              <w:autoSpaceDN w:val="0"/>
              <w:spacing w:line="275" w:lineRule="exact"/>
              <w:ind w:left="106"/>
              <w:rPr>
                <w:szCs w:val="22"/>
              </w:rPr>
            </w:pPr>
            <w:r w:rsidRPr="00CF0BBF">
              <w:rPr>
                <w:szCs w:val="22"/>
              </w:rPr>
              <w:t>Criterion</w:t>
            </w:r>
            <w:r w:rsidRPr="00CF0BBF">
              <w:rPr>
                <w:spacing w:val="-1"/>
                <w:szCs w:val="22"/>
              </w:rPr>
              <w:t xml:space="preserve"> </w:t>
            </w:r>
            <w:r w:rsidRPr="00CF0BBF">
              <w:rPr>
                <w:spacing w:val="-5"/>
                <w:szCs w:val="22"/>
              </w:rPr>
              <w:t>for</w:t>
            </w:r>
          </w:p>
          <w:p w14:paraId="6C9C038F" w14:textId="77777777" w:rsidR="00CF0BBF" w:rsidRPr="00CF0BBF" w:rsidRDefault="00CF0BBF" w:rsidP="00CF0BBF">
            <w:pPr>
              <w:widowControl w:val="0"/>
              <w:autoSpaceDE w:val="0"/>
              <w:autoSpaceDN w:val="0"/>
              <w:spacing w:line="270" w:lineRule="atLeast"/>
              <w:ind w:left="106"/>
              <w:rPr>
                <w:szCs w:val="22"/>
              </w:rPr>
            </w:pPr>
            <w:r w:rsidRPr="00CF0BBF">
              <w:rPr>
                <w:szCs w:val="22"/>
              </w:rPr>
              <w:t>prior</w:t>
            </w:r>
            <w:r w:rsidRPr="00CF0BBF">
              <w:rPr>
                <w:spacing w:val="-15"/>
                <w:szCs w:val="22"/>
              </w:rPr>
              <w:t xml:space="preserve"> </w:t>
            </w:r>
            <w:r w:rsidRPr="00CF0BBF">
              <w:rPr>
                <w:szCs w:val="22"/>
              </w:rPr>
              <w:t xml:space="preserve">3-day </w:t>
            </w:r>
            <w:r w:rsidRPr="00CF0BBF">
              <w:rPr>
                <w:spacing w:val="-2"/>
                <w:szCs w:val="22"/>
              </w:rPr>
              <w:t>average</w:t>
            </w:r>
          </w:p>
        </w:tc>
        <w:tc>
          <w:tcPr>
            <w:tcW w:w="1608" w:type="dxa"/>
          </w:tcPr>
          <w:p w14:paraId="38417904" w14:textId="77777777" w:rsidR="00CF0BBF" w:rsidRPr="00CF0BBF" w:rsidRDefault="00CF0BBF" w:rsidP="00CF0BBF">
            <w:pPr>
              <w:widowControl w:val="0"/>
              <w:autoSpaceDE w:val="0"/>
              <w:autoSpaceDN w:val="0"/>
              <w:spacing w:line="275" w:lineRule="exact"/>
              <w:ind w:left="106"/>
              <w:rPr>
                <w:szCs w:val="22"/>
              </w:rPr>
            </w:pPr>
            <w:r w:rsidRPr="00CF0BBF">
              <w:rPr>
                <w:szCs w:val="22"/>
              </w:rPr>
              <w:t>Prior</w:t>
            </w:r>
            <w:r w:rsidRPr="00CF0BBF">
              <w:rPr>
                <w:spacing w:val="-2"/>
                <w:szCs w:val="22"/>
              </w:rPr>
              <w:t xml:space="preserve"> </w:t>
            </w:r>
            <w:r w:rsidRPr="00CF0BBF">
              <w:rPr>
                <w:szCs w:val="22"/>
              </w:rPr>
              <w:t>3-</w:t>
            </w:r>
            <w:r w:rsidRPr="00CF0BBF">
              <w:rPr>
                <w:spacing w:val="-5"/>
                <w:szCs w:val="22"/>
              </w:rPr>
              <w:t>day</w:t>
            </w:r>
          </w:p>
          <w:p w14:paraId="42CC4FDE" w14:textId="77777777" w:rsidR="00CF0BBF" w:rsidRPr="00CF0BBF" w:rsidRDefault="00CF0BBF" w:rsidP="00CF0BBF">
            <w:pPr>
              <w:widowControl w:val="0"/>
              <w:autoSpaceDE w:val="0"/>
              <w:autoSpaceDN w:val="0"/>
              <w:spacing w:line="270" w:lineRule="atLeast"/>
              <w:ind w:left="106" w:right="134"/>
              <w:rPr>
                <w:szCs w:val="22"/>
              </w:rPr>
            </w:pPr>
            <w:r w:rsidRPr="00CF0BBF">
              <w:rPr>
                <w:szCs w:val="22"/>
              </w:rPr>
              <w:t>average</w:t>
            </w:r>
            <w:r w:rsidRPr="00CF0BBF">
              <w:rPr>
                <w:spacing w:val="-15"/>
                <w:szCs w:val="22"/>
              </w:rPr>
              <w:t xml:space="preserve"> </w:t>
            </w:r>
            <w:r w:rsidRPr="00CF0BBF">
              <w:rPr>
                <w:szCs w:val="22"/>
              </w:rPr>
              <w:t>LWG ladder count</w:t>
            </w:r>
          </w:p>
        </w:tc>
        <w:tc>
          <w:tcPr>
            <w:tcW w:w="1601" w:type="dxa"/>
          </w:tcPr>
          <w:p w14:paraId="3320C114" w14:textId="77777777" w:rsidR="00CF0BBF" w:rsidRPr="00CF0BBF" w:rsidRDefault="00CF0BBF" w:rsidP="00CF0BBF">
            <w:pPr>
              <w:widowControl w:val="0"/>
              <w:autoSpaceDE w:val="0"/>
              <w:autoSpaceDN w:val="0"/>
              <w:spacing w:before="256" w:line="270" w:lineRule="atLeast"/>
              <w:ind w:left="106"/>
              <w:rPr>
                <w:szCs w:val="22"/>
              </w:rPr>
            </w:pPr>
            <w:r w:rsidRPr="00CF0BBF">
              <w:rPr>
                <w:szCs w:val="22"/>
              </w:rPr>
              <w:t>Trigger for “few”</w:t>
            </w:r>
            <w:r w:rsidRPr="00CF0BBF">
              <w:rPr>
                <w:spacing w:val="-5"/>
                <w:szCs w:val="22"/>
              </w:rPr>
              <w:t xml:space="preserve"> </w:t>
            </w:r>
            <w:r w:rsidRPr="00CF0BBF">
              <w:rPr>
                <w:spacing w:val="-4"/>
                <w:szCs w:val="22"/>
              </w:rPr>
              <w:t>met?</w:t>
            </w:r>
          </w:p>
        </w:tc>
      </w:tr>
      <w:tr w:rsidR="00CF0BBF" w:rsidRPr="00CF0BBF" w14:paraId="395E01A7" w14:textId="77777777" w:rsidTr="00BF6109">
        <w:trPr>
          <w:trHeight w:val="277"/>
        </w:trPr>
        <w:tc>
          <w:tcPr>
            <w:tcW w:w="1402" w:type="dxa"/>
          </w:tcPr>
          <w:p w14:paraId="1C48BAF7" w14:textId="77777777" w:rsidR="00CF0BBF" w:rsidRPr="00CF0BBF" w:rsidRDefault="00CF0BBF" w:rsidP="00CF0BBF">
            <w:pPr>
              <w:widowControl w:val="0"/>
              <w:autoSpaceDE w:val="0"/>
              <w:autoSpaceDN w:val="0"/>
              <w:spacing w:before="1" w:line="257" w:lineRule="exact"/>
              <w:ind w:left="107"/>
              <w:rPr>
                <w:szCs w:val="22"/>
              </w:rPr>
            </w:pPr>
            <w:r w:rsidRPr="00CF0BBF">
              <w:rPr>
                <w:spacing w:val="-2"/>
                <w:szCs w:val="22"/>
              </w:rPr>
              <w:t>Unclipped</w:t>
            </w:r>
          </w:p>
        </w:tc>
        <w:tc>
          <w:tcPr>
            <w:tcW w:w="1602" w:type="dxa"/>
          </w:tcPr>
          <w:p w14:paraId="2D395EA3" w14:textId="77777777" w:rsidR="00CF0BBF" w:rsidRPr="00CF0BBF" w:rsidRDefault="00CF0BBF" w:rsidP="00CF0BBF">
            <w:pPr>
              <w:widowControl w:val="0"/>
              <w:autoSpaceDE w:val="0"/>
              <w:autoSpaceDN w:val="0"/>
              <w:spacing w:before="1" w:line="257" w:lineRule="exact"/>
              <w:ind w:left="107"/>
              <w:rPr>
                <w:szCs w:val="22"/>
              </w:rPr>
            </w:pPr>
            <w:r w:rsidRPr="00CF0BBF">
              <w:rPr>
                <w:spacing w:val="-2"/>
                <w:szCs w:val="22"/>
              </w:rPr>
              <w:t>20687</w:t>
            </w:r>
          </w:p>
        </w:tc>
        <w:tc>
          <w:tcPr>
            <w:tcW w:w="1604" w:type="dxa"/>
          </w:tcPr>
          <w:p w14:paraId="0CF062F1" w14:textId="77777777" w:rsidR="00CF0BBF" w:rsidRPr="00CF0BBF" w:rsidRDefault="00CF0BBF" w:rsidP="00CF0BBF">
            <w:pPr>
              <w:widowControl w:val="0"/>
              <w:autoSpaceDE w:val="0"/>
              <w:autoSpaceDN w:val="0"/>
              <w:spacing w:before="1" w:line="257" w:lineRule="exact"/>
              <w:ind w:left="106"/>
              <w:rPr>
                <w:szCs w:val="22"/>
              </w:rPr>
            </w:pPr>
            <w:r w:rsidRPr="00CF0BBF">
              <w:rPr>
                <w:spacing w:val="-5"/>
                <w:szCs w:val="22"/>
              </w:rPr>
              <w:t>&lt;10</w:t>
            </w:r>
          </w:p>
        </w:tc>
        <w:tc>
          <w:tcPr>
            <w:tcW w:w="1608" w:type="dxa"/>
          </w:tcPr>
          <w:p w14:paraId="7D107537" w14:textId="77777777" w:rsidR="00CF0BBF" w:rsidRPr="00CF0BBF" w:rsidRDefault="00CF0BBF" w:rsidP="00CF0BBF">
            <w:pPr>
              <w:widowControl w:val="0"/>
              <w:autoSpaceDE w:val="0"/>
              <w:autoSpaceDN w:val="0"/>
              <w:spacing w:before="1" w:line="257" w:lineRule="exact"/>
              <w:ind w:left="106"/>
              <w:rPr>
                <w:szCs w:val="22"/>
              </w:rPr>
            </w:pPr>
            <w:r w:rsidRPr="00CF0BBF">
              <w:rPr>
                <w:spacing w:val="-5"/>
                <w:szCs w:val="22"/>
              </w:rPr>
              <w:t>9.3</w:t>
            </w:r>
          </w:p>
        </w:tc>
        <w:tc>
          <w:tcPr>
            <w:tcW w:w="1601" w:type="dxa"/>
          </w:tcPr>
          <w:p w14:paraId="7B6DABA0" w14:textId="77777777" w:rsidR="00CF0BBF" w:rsidRPr="00CF0BBF" w:rsidRDefault="00CF0BBF" w:rsidP="00CF0BBF">
            <w:pPr>
              <w:widowControl w:val="0"/>
              <w:autoSpaceDE w:val="0"/>
              <w:autoSpaceDN w:val="0"/>
              <w:spacing w:before="1" w:line="257" w:lineRule="exact"/>
              <w:ind w:left="106"/>
              <w:rPr>
                <w:szCs w:val="22"/>
              </w:rPr>
            </w:pPr>
            <w:r w:rsidRPr="00CF0BBF">
              <w:rPr>
                <w:spacing w:val="-5"/>
                <w:szCs w:val="22"/>
              </w:rPr>
              <w:t>Yes</w:t>
            </w:r>
          </w:p>
        </w:tc>
      </w:tr>
      <w:tr w:rsidR="00CF0BBF" w:rsidRPr="00CF0BBF" w14:paraId="2E04D38C" w14:textId="77777777" w:rsidTr="00BF6109">
        <w:trPr>
          <w:trHeight w:val="275"/>
        </w:trPr>
        <w:tc>
          <w:tcPr>
            <w:tcW w:w="1402" w:type="dxa"/>
          </w:tcPr>
          <w:p w14:paraId="66722621" w14:textId="77777777" w:rsidR="00CF0BBF" w:rsidRPr="00CF0BBF" w:rsidRDefault="00CF0BBF" w:rsidP="00CF0BBF">
            <w:pPr>
              <w:widowControl w:val="0"/>
              <w:autoSpaceDE w:val="0"/>
              <w:autoSpaceDN w:val="0"/>
              <w:spacing w:line="256" w:lineRule="exact"/>
              <w:ind w:left="107"/>
              <w:rPr>
                <w:szCs w:val="22"/>
              </w:rPr>
            </w:pPr>
            <w:r w:rsidRPr="00CF0BBF">
              <w:rPr>
                <w:spacing w:val="-2"/>
                <w:szCs w:val="22"/>
              </w:rPr>
              <w:t>Total</w:t>
            </w:r>
          </w:p>
        </w:tc>
        <w:tc>
          <w:tcPr>
            <w:tcW w:w="1602" w:type="dxa"/>
          </w:tcPr>
          <w:p w14:paraId="442D9E40" w14:textId="77777777" w:rsidR="00CF0BBF" w:rsidRPr="00CF0BBF" w:rsidRDefault="00CF0BBF" w:rsidP="00CF0BBF">
            <w:pPr>
              <w:widowControl w:val="0"/>
              <w:autoSpaceDE w:val="0"/>
              <w:autoSpaceDN w:val="0"/>
              <w:spacing w:line="256" w:lineRule="exact"/>
              <w:ind w:left="107"/>
              <w:rPr>
                <w:szCs w:val="22"/>
              </w:rPr>
            </w:pPr>
            <w:r w:rsidRPr="00CF0BBF">
              <w:rPr>
                <w:spacing w:val="-2"/>
                <w:szCs w:val="22"/>
              </w:rPr>
              <w:t>76920</w:t>
            </w:r>
          </w:p>
        </w:tc>
        <w:tc>
          <w:tcPr>
            <w:tcW w:w="1604" w:type="dxa"/>
          </w:tcPr>
          <w:p w14:paraId="251CC40F" w14:textId="77777777" w:rsidR="00CF0BBF" w:rsidRPr="00CF0BBF" w:rsidRDefault="00CF0BBF" w:rsidP="00CF0BBF">
            <w:pPr>
              <w:widowControl w:val="0"/>
              <w:autoSpaceDE w:val="0"/>
              <w:autoSpaceDN w:val="0"/>
              <w:spacing w:line="256" w:lineRule="exact"/>
              <w:ind w:left="106"/>
              <w:rPr>
                <w:szCs w:val="22"/>
              </w:rPr>
            </w:pPr>
            <w:r w:rsidRPr="00CF0BBF">
              <w:rPr>
                <w:spacing w:val="-5"/>
                <w:szCs w:val="22"/>
              </w:rPr>
              <w:t>&lt;35</w:t>
            </w:r>
          </w:p>
        </w:tc>
        <w:tc>
          <w:tcPr>
            <w:tcW w:w="1608" w:type="dxa"/>
          </w:tcPr>
          <w:p w14:paraId="5B9A3FE0" w14:textId="77777777" w:rsidR="00CF0BBF" w:rsidRPr="00CF0BBF" w:rsidRDefault="00CF0BBF" w:rsidP="00CF0BBF">
            <w:pPr>
              <w:widowControl w:val="0"/>
              <w:autoSpaceDE w:val="0"/>
              <w:autoSpaceDN w:val="0"/>
              <w:spacing w:line="256" w:lineRule="exact"/>
              <w:ind w:left="106"/>
              <w:rPr>
                <w:szCs w:val="22"/>
              </w:rPr>
            </w:pPr>
            <w:r w:rsidRPr="00CF0BBF">
              <w:rPr>
                <w:spacing w:val="-4"/>
                <w:szCs w:val="22"/>
              </w:rPr>
              <w:t>24.0</w:t>
            </w:r>
          </w:p>
        </w:tc>
        <w:tc>
          <w:tcPr>
            <w:tcW w:w="1601" w:type="dxa"/>
          </w:tcPr>
          <w:p w14:paraId="479158B4" w14:textId="77777777" w:rsidR="00CF0BBF" w:rsidRPr="00CF0BBF" w:rsidRDefault="00CF0BBF" w:rsidP="00CF0BBF">
            <w:pPr>
              <w:widowControl w:val="0"/>
              <w:autoSpaceDE w:val="0"/>
              <w:autoSpaceDN w:val="0"/>
              <w:spacing w:line="256" w:lineRule="exact"/>
              <w:ind w:left="106"/>
              <w:rPr>
                <w:szCs w:val="22"/>
              </w:rPr>
            </w:pPr>
            <w:r w:rsidRPr="00CF0BBF">
              <w:rPr>
                <w:spacing w:val="-5"/>
                <w:szCs w:val="22"/>
              </w:rPr>
              <w:t>Yes</w:t>
            </w:r>
          </w:p>
        </w:tc>
      </w:tr>
    </w:tbl>
    <w:p w14:paraId="4D53B00E" w14:textId="77777777" w:rsidR="00CF0BBF" w:rsidRDefault="00CF0BBF"/>
    <w:sectPr w:rsidR="00CF0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num w:numId="1" w16cid:durableId="8716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57"/>
    <w:rsid w:val="000C588C"/>
    <w:rsid w:val="00120E57"/>
    <w:rsid w:val="001C1AA1"/>
    <w:rsid w:val="00293DC4"/>
    <w:rsid w:val="004863EE"/>
    <w:rsid w:val="004C5B6C"/>
    <w:rsid w:val="004D47F4"/>
    <w:rsid w:val="008043D5"/>
    <w:rsid w:val="00941F27"/>
    <w:rsid w:val="00957D70"/>
    <w:rsid w:val="009602E5"/>
    <w:rsid w:val="009C7668"/>
    <w:rsid w:val="00C257CB"/>
    <w:rsid w:val="00CF0BBF"/>
    <w:rsid w:val="00DE4BD1"/>
    <w:rsid w:val="00DF4CAB"/>
    <w:rsid w:val="00F7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7B38"/>
  <w15:chartTrackingRefBased/>
  <w15:docId w15:val="{02DDC2F7-FA99-47D7-B159-E7F10542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E5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0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120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120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57"/>
    <w:rPr>
      <w:rFonts w:eastAsiaTheme="majorEastAsia" w:cstheme="majorBidi"/>
      <w:color w:val="272727" w:themeColor="text1" w:themeTint="D8"/>
    </w:rPr>
  </w:style>
  <w:style w:type="paragraph" w:styleId="Title">
    <w:name w:val="Title"/>
    <w:basedOn w:val="Normal"/>
    <w:next w:val="Normal"/>
    <w:link w:val="TitleChar"/>
    <w:uiPriority w:val="10"/>
    <w:qFormat/>
    <w:rsid w:val="00120E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57"/>
    <w:pPr>
      <w:spacing w:before="160"/>
      <w:jc w:val="center"/>
    </w:pPr>
    <w:rPr>
      <w:i/>
      <w:iCs/>
      <w:color w:val="404040" w:themeColor="text1" w:themeTint="BF"/>
    </w:rPr>
  </w:style>
  <w:style w:type="character" w:customStyle="1" w:styleId="QuoteChar">
    <w:name w:val="Quote Char"/>
    <w:basedOn w:val="DefaultParagraphFont"/>
    <w:link w:val="Quote"/>
    <w:uiPriority w:val="29"/>
    <w:rsid w:val="00120E57"/>
    <w:rPr>
      <w:i/>
      <w:iCs/>
      <w:color w:val="404040" w:themeColor="text1" w:themeTint="BF"/>
    </w:rPr>
  </w:style>
  <w:style w:type="paragraph" w:styleId="ListParagraph">
    <w:name w:val="List Paragraph"/>
    <w:basedOn w:val="Normal"/>
    <w:uiPriority w:val="34"/>
    <w:qFormat/>
    <w:rsid w:val="00120E57"/>
    <w:pPr>
      <w:ind w:left="720"/>
      <w:contextualSpacing/>
    </w:pPr>
  </w:style>
  <w:style w:type="character" w:styleId="IntenseEmphasis">
    <w:name w:val="Intense Emphasis"/>
    <w:basedOn w:val="DefaultParagraphFont"/>
    <w:uiPriority w:val="21"/>
    <w:qFormat/>
    <w:rsid w:val="00120E57"/>
    <w:rPr>
      <w:i/>
      <w:iCs/>
      <w:color w:val="0F4761" w:themeColor="accent1" w:themeShade="BF"/>
    </w:rPr>
  </w:style>
  <w:style w:type="paragraph" w:styleId="IntenseQuote">
    <w:name w:val="Intense Quote"/>
    <w:basedOn w:val="Normal"/>
    <w:next w:val="Normal"/>
    <w:link w:val="IntenseQuoteChar"/>
    <w:uiPriority w:val="30"/>
    <w:qFormat/>
    <w:rsid w:val="00120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57"/>
    <w:rPr>
      <w:i/>
      <w:iCs/>
      <w:color w:val="0F4761" w:themeColor="accent1" w:themeShade="BF"/>
    </w:rPr>
  </w:style>
  <w:style w:type="character" w:styleId="IntenseReference">
    <w:name w:val="Intense Reference"/>
    <w:basedOn w:val="DefaultParagraphFont"/>
    <w:uiPriority w:val="32"/>
    <w:qFormat/>
    <w:rsid w:val="00120E57"/>
    <w:rPr>
      <w:b/>
      <w:bCs/>
      <w:smallCaps/>
      <w:color w:val="0F4761" w:themeColor="accent1" w:themeShade="BF"/>
      <w:spacing w:val="5"/>
    </w:rPr>
  </w:style>
  <w:style w:type="character" w:styleId="Hyperlink">
    <w:name w:val="Hyperlink"/>
    <w:uiPriority w:val="99"/>
    <w:rsid w:val="00120E57"/>
    <w:rPr>
      <w:color w:val="0000FF"/>
      <w:u w:val="single"/>
    </w:rPr>
  </w:style>
  <w:style w:type="paragraph" w:styleId="BodyText">
    <w:name w:val="Body Text"/>
    <w:basedOn w:val="Normal"/>
    <w:link w:val="BodyTextChar"/>
    <w:uiPriority w:val="99"/>
    <w:rsid w:val="00120E57"/>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basedOn w:val="DefaultParagraphFont"/>
    <w:link w:val="BodyText"/>
    <w:uiPriority w:val="99"/>
    <w:rsid w:val="00120E57"/>
    <w:rPr>
      <w:rFonts w:ascii="TimesNewRomanPSMT" w:eastAsia="Times New Roman" w:hAnsi="TimesNewRomanPSMT" w:cs="Times New Roman"/>
      <w:color w:val="FF0000"/>
      <w:kern w:val="0"/>
      <w:sz w:val="20"/>
      <w:szCs w:val="20"/>
      <w:u w:val="single"/>
      <w:lang w:val="x-none" w:eastAsia="x-none"/>
      <w14:ligatures w14:val="none"/>
    </w:rPr>
  </w:style>
  <w:style w:type="paragraph" w:styleId="HTMLPreformatted">
    <w:name w:val="HTML Preformatted"/>
    <w:basedOn w:val="Normal"/>
    <w:link w:val="HTMLPreformattedChar"/>
    <w:uiPriority w:val="99"/>
    <w:rsid w:val="0012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120E57"/>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sor/2005/2005-22.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rl.noaa.gov/gmd/grad/solcalc/calcdetails.html" TargetMode="External"/><Relationship Id="rId5" Type="http://schemas.openxmlformats.org/officeDocument/2006/relationships/styles" Target="styles.xml"/><Relationship Id="rId10" Type="http://schemas.openxmlformats.org/officeDocument/2006/relationships/hyperlink" Target="https://www.esrl.noaa.gov/gmd/grad/solcalc/glossary.html" TargetMode="External"/><Relationship Id="rId4" Type="http://schemas.openxmlformats.org/officeDocument/2006/relationships/numbering" Target="numbering.xml"/><Relationship Id="rId9" Type="http://schemas.openxmlformats.org/officeDocument/2006/relationships/hyperlink" Target="https://www.fpc.org/currentdaily/HistFishTwo_7day-ytd_Adul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15" ma:contentTypeDescription="Create a new document." ma:contentTypeScope="" ma:versionID="38ee76fa4e22d54d25d5a7aae95c381d">
  <xsd:schema xmlns:xsd="http://www.w3.org/2001/XMLSchema" xmlns:xs="http://www.w3.org/2001/XMLSchema" xmlns:p="http://schemas.microsoft.com/office/2006/metadata/properties" xmlns:ns3="75faeaeb-9648-4078-8833-6667cc77c122" xmlns:ns4="100d0c95-168f-48fe-8be4-ebcea0ff7913" targetNamespace="http://schemas.microsoft.com/office/2006/metadata/properties" ma:root="true" ma:fieldsID="7da57623ca369438dbbf18690c61e8be" ns3:_="" ns4:_="">
    <xsd:import namespace="75faeaeb-9648-4078-8833-6667cc77c122"/>
    <xsd:import namespace="100d0c95-168f-48fe-8be4-ebcea0ff7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faeaeb-9648-4078-8833-6667cc77c122" xsi:nil="true"/>
  </documentManagement>
</p:properties>
</file>

<file path=customXml/itemProps1.xml><?xml version="1.0" encoding="utf-8"?>
<ds:datastoreItem xmlns:ds="http://schemas.openxmlformats.org/officeDocument/2006/customXml" ds:itemID="{B5D8AE07-C788-4D09-BBD8-B57B0AA4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aeaeb-9648-4078-8833-6667cc77c122"/>
    <ds:schemaRef ds:uri="100d0c95-168f-48fe-8be4-ebcea0ff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E4BF4-730E-4670-9EA3-14E2BC833B57}">
  <ds:schemaRefs>
    <ds:schemaRef ds:uri="http://schemas.microsoft.com/sharepoint/v3/contenttype/forms"/>
  </ds:schemaRefs>
</ds:datastoreItem>
</file>

<file path=customXml/itemProps3.xml><?xml version="1.0" encoding="utf-8"?>
<ds:datastoreItem xmlns:ds="http://schemas.openxmlformats.org/officeDocument/2006/customXml" ds:itemID="{6E673699-8D95-4073-B831-6F0EC9E297EB}">
  <ds:schemaRefs>
    <ds:schemaRef ds:uri="http://schemas.microsoft.com/office/2006/documentManagement/types"/>
    <ds:schemaRef ds:uri="http://purl.org/dc/terms/"/>
    <ds:schemaRef ds:uri="http://purl.org/dc/elements/1.1/"/>
    <ds:schemaRef ds:uri="75faeaeb-9648-4078-8833-6667cc77c122"/>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00d0c95-168f-48fe-8be4-ebcea0ff791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 Douglas M CIV USARMY CENWD (USA)</dc:creator>
  <cp:keywords/>
  <dc:description/>
  <cp:lastModifiedBy>Baus, Douglas M CIV USARMY CENWD (USA)</cp:lastModifiedBy>
  <cp:revision>3</cp:revision>
  <dcterms:created xsi:type="dcterms:W3CDTF">2025-12-15T17:00:00Z</dcterms:created>
  <dcterms:modified xsi:type="dcterms:W3CDTF">2025-12-15T17:07:00Z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