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4B622D">
        <w:t>20</w:t>
      </w:r>
      <w:r w:rsidR="00B147ED">
        <w:t>BON00</w:t>
      </w:r>
      <w:r w:rsidR="007246B0">
        <w:t>2</w:t>
      </w:r>
      <w:r w:rsidR="00B147ED">
        <w:t xml:space="preserve"> – </w:t>
      </w:r>
      <w:r w:rsidR="007246B0">
        <w:t xml:space="preserve">PH2 Mid-Range </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B147ED">
        <w:t>1/16/2020</w:t>
      </w:r>
    </w:p>
    <w:p w:rsidR="0052535B" w:rsidRPr="009C6814" w:rsidRDefault="0052535B" w:rsidP="00EB3394">
      <w:r w:rsidRPr="009C6814">
        <w:rPr>
          <w:b/>
        </w:rPr>
        <w:t>Project</w:t>
      </w:r>
      <w:r w:rsidRPr="009C6814">
        <w:t>:</w:t>
      </w:r>
      <w:r w:rsidR="00D177B3">
        <w:tab/>
      </w:r>
      <w:r w:rsidR="00D177B3">
        <w:tab/>
      </w:r>
      <w:r w:rsidR="00D177B3">
        <w:tab/>
      </w:r>
      <w:r w:rsidR="00B147ED">
        <w:t>BON</w:t>
      </w:r>
    </w:p>
    <w:p w:rsidR="00CD704F" w:rsidRDefault="00B1230A" w:rsidP="00EB3394">
      <w:r w:rsidRPr="009C6814">
        <w:rPr>
          <w:b/>
        </w:rPr>
        <w:t>Requester Name, Agency</w:t>
      </w:r>
      <w:r w:rsidR="00CD704F" w:rsidRPr="009C6814">
        <w:t>:</w:t>
      </w:r>
      <w:r w:rsidR="00D177B3">
        <w:tab/>
      </w:r>
      <w:r w:rsidR="007246B0">
        <w:t>Scott Bettin, BPA</w:t>
      </w:r>
    </w:p>
    <w:p w:rsidR="005D05C8" w:rsidRPr="00E063B5"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E063B5">
        <w:rPr>
          <w:b/>
          <w:color w:val="00B050"/>
        </w:rPr>
        <w:t>APPROVED 13-FEB-2020</w:t>
      </w:r>
    </w:p>
    <w:p w:rsidR="00590CB7" w:rsidRDefault="00923CDF" w:rsidP="00880E51">
      <w:pPr>
        <w:spacing w:after="240"/>
      </w:pPr>
      <w:r w:rsidRPr="00F60346">
        <w:rPr>
          <w:b/>
          <w:caps/>
          <w:u w:val="single"/>
        </w:rPr>
        <w:t>FPP Section</w:t>
      </w:r>
      <w:r w:rsidR="00AB4424" w:rsidRPr="005D05C8">
        <w:t>:</w:t>
      </w:r>
      <w:r w:rsidR="00316542">
        <w:t xml:space="preserve"> </w:t>
      </w:r>
      <w:r w:rsidR="00B147ED">
        <w:t>BON</w:t>
      </w:r>
      <w:r w:rsidR="003760DF">
        <w:t xml:space="preserve"> </w:t>
      </w:r>
      <w:r w:rsidR="007246B0">
        <w:t>5.2.1</w:t>
      </w:r>
      <w:r w:rsidR="00B3187E">
        <w:t>.2</w:t>
      </w:r>
      <w:r w:rsidR="00B147ED">
        <w:t xml:space="preserve"> – </w:t>
      </w:r>
      <w:r w:rsidR="007246B0">
        <w:t>Turbine Operating Range / In-Season (April 1 – October 31)</w:t>
      </w:r>
    </w:p>
    <w:p w:rsidR="00D9640C" w:rsidRDefault="009F3DCB" w:rsidP="005C10F6">
      <w:pPr>
        <w:spacing w:before="360" w:after="240"/>
      </w:pPr>
      <w:r w:rsidRPr="00923CDF">
        <w:rPr>
          <w:rFonts w:ascii="Times New Roman Bold" w:hAnsi="Times New Roman Bold"/>
          <w:b/>
          <w:caps/>
          <w:u w:val="single"/>
        </w:rPr>
        <w:t>Justification for Change</w:t>
      </w:r>
      <w:r w:rsidRPr="005D05C8">
        <w:t>:</w:t>
      </w:r>
      <w:r w:rsidR="0055630A">
        <w:t xml:space="preserve"> </w:t>
      </w:r>
      <w:r w:rsidR="000431B3">
        <w:t xml:space="preserve"> </w:t>
      </w:r>
    </w:p>
    <w:p w:rsidR="00D55A87" w:rsidRDefault="00291ECD" w:rsidP="00D9640C">
      <w:pPr>
        <w:spacing w:before="240" w:after="240"/>
      </w:pPr>
      <w:r>
        <w:t xml:space="preserve">During spring spill when the </w:t>
      </w:r>
      <w:r w:rsidR="00002B6D">
        <w:t>“</w:t>
      </w:r>
      <w:r>
        <w:t>juvenile trigger</w:t>
      </w:r>
      <w:r w:rsidR="00002B6D">
        <w:t>”</w:t>
      </w:r>
      <w:r>
        <w:t xml:space="preserve"> is in effect, constraining PH2 units to the </w:t>
      </w:r>
      <w:r w:rsidR="00D9640C">
        <w:t xml:space="preserve">1% </w:t>
      </w:r>
      <w:r>
        <w:t xml:space="preserve">mid-range reduces </w:t>
      </w:r>
      <w:r w:rsidR="000431B3">
        <w:t xml:space="preserve">PH2 </w:t>
      </w:r>
      <w:r>
        <w:t xml:space="preserve">capacity by </w:t>
      </w:r>
      <w:r w:rsidR="000431B3">
        <w:t xml:space="preserve">about </w:t>
      </w:r>
      <w:r w:rsidR="00BD520F">
        <w:t>3 kcfs/unit</w:t>
      </w:r>
      <w:r w:rsidR="000431B3">
        <w:t xml:space="preserve"> (total reduction of 24 kcfs if all 8 units available</w:t>
      </w:r>
      <w:r w:rsidR="00BD520F">
        <w:t>)</w:t>
      </w:r>
      <w:r>
        <w:t>.</w:t>
      </w:r>
      <w:r w:rsidR="000431B3">
        <w:t xml:space="preserve"> This constraint results in spilling more than 150 kcfs</w:t>
      </w:r>
      <w:r w:rsidR="00434A77">
        <w:t xml:space="preserve"> and </w:t>
      </w:r>
      <w:r w:rsidR="00B91022">
        <w:t>causing</w:t>
      </w:r>
      <w:r w:rsidR="00434A77">
        <w:t xml:space="preserve"> erosion</w:t>
      </w:r>
      <w:r w:rsidR="000431B3">
        <w:t xml:space="preserve"> </w:t>
      </w:r>
      <w:r w:rsidR="00B26421">
        <w:t xml:space="preserve">in the spillway stilling basin </w:t>
      </w:r>
      <w:r w:rsidR="000431B3">
        <w:t xml:space="preserve">when total project outflow is above approximately 392 kcfs (see </w:t>
      </w:r>
      <w:r w:rsidR="00D55A87">
        <w:t xml:space="preserve">flow </w:t>
      </w:r>
      <w:r w:rsidR="000431B3">
        <w:t xml:space="preserve">summary below). </w:t>
      </w:r>
    </w:p>
    <w:p w:rsidR="00566A87" w:rsidRDefault="00002B6D" w:rsidP="00D55A87">
      <w:pPr>
        <w:spacing w:before="240" w:after="240"/>
      </w:pPr>
      <w:r>
        <w:t xml:space="preserve">To minimize spillway erosion, PH2 units </w:t>
      </w:r>
      <w:r w:rsidR="0051212F">
        <w:t>could</w:t>
      </w:r>
      <w:r>
        <w:t xml:space="preserve"> be operated </w:t>
      </w:r>
      <w:r w:rsidR="00D55A87">
        <w:t xml:space="preserve">above the mid-range </w:t>
      </w:r>
      <w:r>
        <w:t xml:space="preserve">to the upper </w:t>
      </w:r>
      <w:r w:rsidR="00D9640C">
        <w:t>1%</w:t>
      </w:r>
      <w:r w:rsidR="00884881">
        <w:t xml:space="preserve"> instead of spilling more than 150 kcfs</w:t>
      </w:r>
      <w:r>
        <w:t xml:space="preserve">. This would avoid </w:t>
      </w:r>
      <w:r w:rsidR="004906B3">
        <w:t xml:space="preserve">causing </w:t>
      </w:r>
      <w:r w:rsidR="00B91022">
        <w:t>erosion in</w:t>
      </w:r>
      <w:r w:rsidR="00850CA3">
        <w:t xml:space="preserve"> t</w:t>
      </w:r>
      <w:r w:rsidR="00E8339E">
        <w:t xml:space="preserve">he stilling basin </w:t>
      </w:r>
      <w:r>
        <w:t xml:space="preserve">until </w:t>
      </w:r>
      <w:r w:rsidR="00D9640C">
        <w:t xml:space="preserve">total project </w:t>
      </w:r>
      <w:r>
        <w:t xml:space="preserve">outflow </w:t>
      </w:r>
      <w:r w:rsidR="00884881">
        <w:t xml:space="preserve">increases above </w:t>
      </w:r>
      <w:r>
        <w:t>approximately 416 kcfs.</w:t>
      </w:r>
    </w:p>
    <w:tbl>
      <w:tblPr>
        <w:tblStyle w:val="TableGrid"/>
        <w:tblW w:w="5000" w:type="pct"/>
        <w:tblLook w:val="04A0" w:firstRow="1" w:lastRow="0" w:firstColumn="1" w:lastColumn="0" w:noHBand="0" w:noVBand="1"/>
      </w:tblPr>
      <w:tblGrid>
        <w:gridCol w:w="4945"/>
        <w:gridCol w:w="2165"/>
        <w:gridCol w:w="2240"/>
      </w:tblGrid>
      <w:tr w:rsidR="004906B3" w:rsidRPr="00183C67" w:rsidTr="00D9640C">
        <w:tc>
          <w:tcPr>
            <w:tcW w:w="2644" w:type="pct"/>
            <w:shd w:val="clear" w:color="auto" w:fill="D9D9D9" w:themeFill="background1" w:themeFillShade="D9"/>
          </w:tcPr>
          <w:p w:rsidR="004906B3" w:rsidRPr="00183C67" w:rsidRDefault="004906B3" w:rsidP="00D9640C">
            <w:pPr>
              <w:spacing w:before="40" w:after="40"/>
              <w:rPr>
                <w:sz w:val="22"/>
                <w:szCs w:val="22"/>
              </w:rPr>
            </w:pPr>
          </w:p>
        </w:tc>
        <w:tc>
          <w:tcPr>
            <w:tcW w:w="2356" w:type="pct"/>
            <w:gridSpan w:val="2"/>
            <w:shd w:val="clear" w:color="auto" w:fill="D9D9D9" w:themeFill="background1" w:themeFillShade="D9"/>
          </w:tcPr>
          <w:p w:rsidR="004906B3" w:rsidRPr="00183C67" w:rsidRDefault="004906B3" w:rsidP="00D9640C">
            <w:pPr>
              <w:spacing w:before="40" w:after="40"/>
              <w:jc w:val="center"/>
              <w:rPr>
                <w:sz w:val="22"/>
                <w:szCs w:val="22"/>
              </w:rPr>
            </w:pPr>
            <w:proofErr w:type="spellStart"/>
            <w:r w:rsidRPr="00183C67">
              <w:rPr>
                <w:sz w:val="22"/>
                <w:szCs w:val="22"/>
              </w:rPr>
              <w:t>Approx</w:t>
            </w:r>
            <w:proofErr w:type="spellEnd"/>
            <w:r w:rsidRPr="00183C67">
              <w:rPr>
                <w:i/>
                <w:sz w:val="22"/>
                <w:szCs w:val="22"/>
              </w:rPr>
              <w:t xml:space="preserve"> </w:t>
            </w:r>
            <w:r w:rsidRPr="00183C67">
              <w:rPr>
                <w:sz w:val="22"/>
                <w:szCs w:val="22"/>
              </w:rPr>
              <w:t>Capacity</w:t>
            </w:r>
            <w:r w:rsidR="00D9640C">
              <w:rPr>
                <w:sz w:val="22"/>
                <w:szCs w:val="22"/>
              </w:rPr>
              <w:t xml:space="preserve"> (assuming all units available)</w:t>
            </w:r>
          </w:p>
        </w:tc>
      </w:tr>
      <w:tr w:rsidR="004906B3" w:rsidRPr="00183C67" w:rsidTr="00D9640C">
        <w:tc>
          <w:tcPr>
            <w:tcW w:w="2644" w:type="pct"/>
          </w:tcPr>
          <w:p w:rsidR="004906B3" w:rsidRPr="00183C67" w:rsidRDefault="004906B3" w:rsidP="00D9640C">
            <w:pPr>
              <w:spacing w:before="40" w:after="40"/>
              <w:jc w:val="center"/>
              <w:rPr>
                <w:sz w:val="22"/>
                <w:szCs w:val="22"/>
              </w:rPr>
            </w:pPr>
            <w:r w:rsidRPr="00183C67">
              <w:rPr>
                <w:sz w:val="22"/>
                <w:szCs w:val="22"/>
              </w:rPr>
              <w:t>Spill limit for erosion</w:t>
            </w:r>
          </w:p>
        </w:tc>
        <w:tc>
          <w:tcPr>
            <w:tcW w:w="2356" w:type="pct"/>
            <w:gridSpan w:val="2"/>
          </w:tcPr>
          <w:p w:rsidR="004906B3" w:rsidRPr="00183C67" w:rsidRDefault="004906B3" w:rsidP="00D9640C">
            <w:pPr>
              <w:spacing w:before="40" w:after="40"/>
              <w:jc w:val="center"/>
              <w:rPr>
                <w:sz w:val="22"/>
                <w:szCs w:val="22"/>
              </w:rPr>
            </w:pPr>
            <w:r w:rsidRPr="00183C67">
              <w:rPr>
                <w:sz w:val="22"/>
                <w:szCs w:val="22"/>
              </w:rPr>
              <w:t>150 kcfs</w:t>
            </w:r>
          </w:p>
        </w:tc>
      </w:tr>
      <w:tr w:rsidR="004906B3" w:rsidRPr="00183C67" w:rsidTr="00D9640C">
        <w:tc>
          <w:tcPr>
            <w:tcW w:w="2644" w:type="pct"/>
          </w:tcPr>
          <w:p w:rsidR="004906B3" w:rsidRPr="00183C67" w:rsidRDefault="004906B3" w:rsidP="00D9640C">
            <w:pPr>
              <w:spacing w:before="40" w:after="40"/>
              <w:jc w:val="center"/>
              <w:rPr>
                <w:sz w:val="22"/>
                <w:szCs w:val="22"/>
              </w:rPr>
            </w:pPr>
            <w:proofErr w:type="spellStart"/>
            <w:r w:rsidRPr="00183C67">
              <w:rPr>
                <w:sz w:val="22"/>
                <w:szCs w:val="22"/>
              </w:rPr>
              <w:t>Misc</w:t>
            </w:r>
            <w:proofErr w:type="spellEnd"/>
            <w:r w:rsidRPr="00183C67">
              <w:rPr>
                <w:sz w:val="22"/>
                <w:szCs w:val="22"/>
              </w:rPr>
              <w:t xml:space="preserve"> flow (corner collector, ladders, </w:t>
            </w:r>
            <w:proofErr w:type="spellStart"/>
            <w:r w:rsidRPr="00183C67">
              <w:rPr>
                <w:sz w:val="22"/>
                <w:szCs w:val="22"/>
              </w:rPr>
              <w:t>etc</w:t>
            </w:r>
            <w:proofErr w:type="spellEnd"/>
            <w:r w:rsidRPr="00183C67">
              <w:rPr>
                <w:sz w:val="22"/>
                <w:szCs w:val="22"/>
              </w:rPr>
              <w:t>)</w:t>
            </w:r>
          </w:p>
        </w:tc>
        <w:tc>
          <w:tcPr>
            <w:tcW w:w="2356" w:type="pct"/>
            <w:gridSpan w:val="2"/>
          </w:tcPr>
          <w:p w:rsidR="004906B3" w:rsidRPr="00183C67" w:rsidRDefault="004906B3" w:rsidP="00D9640C">
            <w:pPr>
              <w:spacing w:before="40" w:after="40"/>
              <w:jc w:val="center"/>
              <w:rPr>
                <w:sz w:val="22"/>
                <w:szCs w:val="22"/>
              </w:rPr>
            </w:pPr>
            <w:r w:rsidRPr="00183C67">
              <w:rPr>
                <w:sz w:val="22"/>
                <w:szCs w:val="22"/>
              </w:rPr>
              <w:t>12 kcfs</w:t>
            </w:r>
          </w:p>
        </w:tc>
      </w:tr>
      <w:tr w:rsidR="004906B3" w:rsidRPr="00183C67" w:rsidTr="00D9640C">
        <w:tc>
          <w:tcPr>
            <w:tcW w:w="2644" w:type="pct"/>
            <w:tcBorders>
              <w:bottom w:val="single" w:sz="4" w:space="0" w:color="auto"/>
            </w:tcBorders>
          </w:tcPr>
          <w:p w:rsidR="004906B3" w:rsidRPr="00183C67" w:rsidRDefault="004906B3" w:rsidP="00D9640C">
            <w:pPr>
              <w:spacing w:before="40" w:after="40"/>
              <w:jc w:val="center"/>
              <w:rPr>
                <w:sz w:val="22"/>
                <w:szCs w:val="22"/>
              </w:rPr>
            </w:pPr>
            <w:r w:rsidRPr="00183C67">
              <w:rPr>
                <w:sz w:val="22"/>
                <w:szCs w:val="22"/>
              </w:rPr>
              <w:t>PH1 BOP (10 units)</w:t>
            </w:r>
          </w:p>
        </w:tc>
        <w:tc>
          <w:tcPr>
            <w:tcW w:w="2356" w:type="pct"/>
            <w:gridSpan w:val="2"/>
            <w:tcBorders>
              <w:bottom w:val="single" w:sz="4" w:space="0" w:color="auto"/>
            </w:tcBorders>
          </w:tcPr>
          <w:p w:rsidR="004906B3" w:rsidRPr="00183C67" w:rsidRDefault="004906B3" w:rsidP="00D9640C">
            <w:pPr>
              <w:spacing w:before="40" w:after="40"/>
              <w:jc w:val="center"/>
              <w:rPr>
                <w:sz w:val="22"/>
                <w:szCs w:val="22"/>
              </w:rPr>
            </w:pPr>
            <w:r w:rsidRPr="00183C67">
              <w:rPr>
                <w:sz w:val="22"/>
                <w:szCs w:val="22"/>
              </w:rPr>
              <w:t>110 kcfs</w:t>
            </w:r>
          </w:p>
        </w:tc>
      </w:tr>
      <w:tr w:rsidR="00D4347B" w:rsidRPr="00183C67" w:rsidTr="00D9640C">
        <w:tc>
          <w:tcPr>
            <w:tcW w:w="2644" w:type="pct"/>
            <w:tcBorders>
              <w:bottom w:val="single" w:sz="12" w:space="0" w:color="auto"/>
            </w:tcBorders>
          </w:tcPr>
          <w:p w:rsidR="00D4347B" w:rsidRPr="00183C67" w:rsidRDefault="00D4347B" w:rsidP="00D9640C">
            <w:pPr>
              <w:spacing w:before="40" w:after="40"/>
              <w:jc w:val="center"/>
              <w:rPr>
                <w:sz w:val="22"/>
                <w:szCs w:val="22"/>
              </w:rPr>
            </w:pPr>
            <w:r w:rsidRPr="00183C67">
              <w:rPr>
                <w:sz w:val="22"/>
                <w:szCs w:val="22"/>
              </w:rPr>
              <w:t>PH2 (8 units)</w:t>
            </w:r>
          </w:p>
        </w:tc>
        <w:tc>
          <w:tcPr>
            <w:tcW w:w="1158" w:type="pct"/>
            <w:tcBorders>
              <w:bottom w:val="single" w:sz="12" w:space="0" w:color="auto"/>
            </w:tcBorders>
          </w:tcPr>
          <w:p w:rsidR="00D4347B" w:rsidRPr="00183C67" w:rsidRDefault="00D4347B" w:rsidP="00D9640C">
            <w:pPr>
              <w:spacing w:before="40" w:after="40"/>
              <w:jc w:val="center"/>
              <w:rPr>
                <w:sz w:val="22"/>
                <w:szCs w:val="22"/>
              </w:rPr>
            </w:pPr>
            <w:r w:rsidRPr="00183C67">
              <w:rPr>
                <w:sz w:val="22"/>
                <w:szCs w:val="22"/>
              </w:rPr>
              <w:t>Mid-Range: 120 kcfs</w:t>
            </w:r>
          </w:p>
        </w:tc>
        <w:tc>
          <w:tcPr>
            <w:tcW w:w="1198" w:type="pct"/>
            <w:tcBorders>
              <w:bottom w:val="single" w:sz="12" w:space="0" w:color="auto"/>
            </w:tcBorders>
          </w:tcPr>
          <w:p w:rsidR="00D4347B" w:rsidRPr="00183C67" w:rsidRDefault="00D4347B" w:rsidP="00D9640C">
            <w:pPr>
              <w:spacing w:before="40" w:after="40"/>
              <w:jc w:val="center"/>
              <w:rPr>
                <w:sz w:val="22"/>
                <w:szCs w:val="22"/>
              </w:rPr>
            </w:pPr>
            <w:r w:rsidRPr="00183C67">
              <w:rPr>
                <w:sz w:val="22"/>
                <w:szCs w:val="22"/>
              </w:rPr>
              <w:t>Upper 1%: 144 kcfs</w:t>
            </w:r>
          </w:p>
        </w:tc>
      </w:tr>
      <w:tr w:rsidR="004906B3" w:rsidRPr="00183C67" w:rsidTr="00D9640C">
        <w:tc>
          <w:tcPr>
            <w:tcW w:w="2644" w:type="pct"/>
            <w:tcBorders>
              <w:top w:val="single" w:sz="12" w:space="0" w:color="auto"/>
            </w:tcBorders>
          </w:tcPr>
          <w:p w:rsidR="004906B3" w:rsidRPr="00183C67" w:rsidRDefault="004906B3" w:rsidP="00D9640C">
            <w:pPr>
              <w:spacing w:before="40" w:after="40"/>
              <w:jc w:val="right"/>
              <w:rPr>
                <w:b/>
                <w:sz w:val="22"/>
                <w:szCs w:val="22"/>
              </w:rPr>
            </w:pPr>
            <w:r w:rsidRPr="00183C67">
              <w:rPr>
                <w:b/>
                <w:sz w:val="22"/>
                <w:szCs w:val="22"/>
              </w:rPr>
              <w:t>TOTAL CAPACITY</w:t>
            </w:r>
            <w:r w:rsidR="00D4347B" w:rsidRPr="00183C67">
              <w:rPr>
                <w:b/>
                <w:sz w:val="22"/>
                <w:szCs w:val="22"/>
              </w:rPr>
              <w:t xml:space="preserve"> (higher flows = spill</w:t>
            </w:r>
            <w:r w:rsidR="00D9640C">
              <w:rPr>
                <w:b/>
                <w:sz w:val="22"/>
                <w:szCs w:val="22"/>
              </w:rPr>
              <w:t xml:space="preserve"> &gt; 150k</w:t>
            </w:r>
            <w:r w:rsidR="00D4347B" w:rsidRPr="00183C67">
              <w:rPr>
                <w:b/>
                <w:sz w:val="22"/>
                <w:szCs w:val="22"/>
              </w:rPr>
              <w:t>)</w:t>
            </w:r>
          </w:p>
        </w:tc>
        <w:tc>
          <w:tcPr>
            <w:tcW w:w="1158" w:type="pct"/>
            <w:tcBorders>
              <w:top w:val="single" w:sz="12" w:space="0" w:color="auto"/>
            </w:tcBorders>
          </w:tcPr>
          <w:p w:rsidR="004906B3" w:rsidRPr="00183C67" w:rsidRDefault="004906B3" w:rsidP="00D9640C">
            <w:pPr>
              <w:spacing w:before="40" w:after="40"/>
              <w:jc w:val="center"/>
              <w:rPr>
                <w:b/>
                <w:sz w:val="22"/>
                <w:szCs w:val="22"/>
              </w:rPr>
            </w:pPr>
            <w:r w:rsidRPr="00183C67">
              <w:rPr>
                <w:b/>
                <w:sz w:val="22"/>
                <w:szCs w:val="22"/>
              </w:rPr>
              <w:t xml:space="preserve">392 kcfs </w:t>
            </w:r>
          </w:p>
        </w:tc>
        <w:tc>
          <w:tcPr>
            <w:tcW w:w="1198" w:type="pct"/>
            <w:tcBorders>
              <w:top w:val="single" w:sz="12" w:space="0" w:color="auto"/>
            </w:tcBorders>
          </w:tcPr>
          <w:p w:rsidR="004906B3" w:rsidRPr="00183C67" w:rsidRDefault="004906B3" w:rsidP="00D9640C">
            <w:pPr>
              <w:spacing w:before="40" w:after="40"/>
              <w:jc w:val="center"/>
              <w:rPr>
                <w:b/>
                <w:sz w:val="22"/>
                <w:szCs w:val="22"/>
              </w:rPr>
            </w:pPr>
            <w:r w:rsidRPr="00183C67">
              <w:rPr>
                <w:b/>
                <w:sz w:val="22"/>
                <w:szCs w:val="22"/>
              </w:rPr>
              <w:t>416 kcfs</w:t>
            </w:r>
          </w:p>
        </w:tc>
      </w:tr>
    </w:tbl>
    <w:p w:rsidR="00EE0329" w:rsidRDefault="00EE0329" w:rsidP="003760DF">
      <w:pPr>
        <w:spacing w:before="360" w:after="240"/>
        <w:rPr>
          <w:rFonts w:ascii="Times New Roman Bold" w:hAnsi="Times New Roman Bold"/>
          <w:b/>
          <w:caps/>
          <w:u w:val="single"/>
        </w:rPr>
      </w:pPr>
    </w:p>
    <w:p w:rsidR="00D14F98" w:rsidRPr="007246B0" w:rsidRDefault="00C64B8E" w:rsidP="003760DF">
      <w:pPr>
        <w:spacing w:before="360" w:after="240"/>
        <w:rPr>
          <w:i/>
        </w:rPr>
      </w:pPr>
      <w:r w:rsidRPr="00923CDF">
        <w:rPr>
          <w:rFonts w:ascii="Times New Roman Bold" w:hAnsi="Times New Roman Bold"/>
          <w:b/>
          <w:caps/>
          <w:u w:val="single"/>
        </w:rPr>
        <w:t>Proposed Change</w:t>
      </w:r>
      <w:r w:rsidRPr="005D05C8">
        <w:t>:</w:t>
      </w:r>
      <w:r w:rsidR="007246B0">
        <w:t xml:space="preserve"> </w:t>
      </w:r>
      <w:r w:rsidR="007246B0">
        <w:rPr>
          <w:i/>
        </w:rPr>
        <w:t xml:space="preserve">See following page for </w:t>
      </w:r>
      <w:r w:rsidR="00D5652A">
        <w:rPr>
          <w:i/>
        </w:rPr>
        <w:t xml:space="preserve">edits in </w:t>
      </w:r>
      <w:r w:rsidR="00D5652A" w:rsidRPr="00D5652A">
        <w:rPr>
          <w:i/>
          <w:color w:val="FF0000"/>
        </w:rPr>
        <w:t>red text</w:t>
      </w:r>
      <w:r w:rsidR="00D5652A">
        <w:rPr>
          <w:i/>
        </w:rPr>
        <w:t>.</w:t>
      </w:r>
    </w:p>
    <w:p w:rsidR="00B147ED" w:rsidRDefault="00B147ED">
      <w:pPr>
        <w:rPr>
          <w:b/>
        </w:rPr>
      </w:pPr>
      <w:bookmarkStart w:id="2" w:name="_Ref461440812"/>
      <w:r>
        <w:rPr>
          <w:b/>
        </w:rPr>
        <w:br w:type="page"/>
      </w:r>
    </w:p>
    <w:p w:rsidR="00B23BE5" w:rsidRDefault="00B23BE5" w:rsidP="007246B0">
      <w:pPr>
        <w:pStyle w:val="FPP3"/>
        <w:numPr>
          <w:ilvl w:val="0"/>
          <w:numId w:val="0"/>
        </w:numPr>
        <w:rPr>
          <w:b/>
        </w:rPr>
        <w:sectPr w:rsidR="00B23BE5" w:rsidSect="00EB3394">
          <w:footerReference w:type="default" r:id="rId8"/>
          <w:pgSz w:w="12240" w:h="15840"/>
          <w:pgMar w:top="1440" w:right="1440" w:bottom="1440" w:left="1440" w:header="720" w:footer="720" w:gutter="0"/>
          <w:cols w:space="720"/>
          <w:docGrid w:linePitch="360"/>
        </w:sectPr>
      </w:pPr>
      <w:bookmarkStart w:id="3" w:name="_Toc27388548"/>
      <w:bookmarkEnd w:id="2"/>
    </w:p>
    <w:bookmarkEnd w:id="3"/>
    <w:p w:rsidR="001C7F91" w:rsidRDefault="001C7F91" w:rsidP="005C796D">
      <w:pPr>
        <w:pStyle w:val="FPP3"/>
        <w:numPr>
          <w:ilvl w:val="0"/>
          <w:numId w:val="0"/>
        </w:numPr>
        <w:pBdr>
          <w:bottom w:val="single" w:sz="12" w:space="1" w:color="auto"/>
        </w:pBdr>
        <w:spacing w:after="120"/>
        <w:rPr>
          <w:rFonts w:ascii="Times New Roman Bold" w:hAnsi="Times New Roman Bold"/>
          <w:b/>
          <w:caps/>
        </w:rPr>
        <w:sectPr w:rsidR="001C7F91" w:rsidSect="008A2829">
          <w:type w:val="continuous"/>
          <w:pgSz w:w="12240" w:h="15840"/>
          <w:pgMar w:top="1440" w:right="1440" w:bottom="1440" w:left="1440" w:header="720" w:footer="720" w:gutter="0"/>
          <w:cols w:space="720"/>
          <w:docGrid w:linePitch="360"/>
        </w:sectPr>
      </w:pPr>
    </w:p>
    <w:p w:rsidR="00D1531C" w:rsidRPr="00337EA9" w:rsidRDefault="00D1531C" w:rsidP="005C796D">
      <w:pPr>
        <w:pStyle w:val="FPP3"/>
        <w:numPr>
          <w:ilvl w:val="0"/>
          <w:numId w:val="0"/>
        </w:numPr>
        <w:pBdr>
          <w:bottom w:val="single" w:sz="12" w:space="1" w:color="auto"/>
        </w:pBdr>
        <w:spacing w:after="120"/>
        <w:rPr>
          <w:b/>
        </w:rPr>
      </w:pPr>
      <w:r w:rsidRPr="00337EA9">
        <w:rPr>
          <w:rFonts w:ascii="Times New Roman Bold" w:hAnsi="Times New Roman Bold"/>
          <w:b/>
          <w:caps/>
        </w:rPr>
        <w:t>Proposed Change</w:t>
      </w:r>
      <w:r w:rsidRPr="00337EA9">
        <w:t>:</w:t>
      </w:r>
    </w:p>
    <w:p w:rsidR="00D1531C" w:rsidRDefault="00D1531C" w:rsidP="00DA0D28">
      <w:pPr>
        <w:pStyle w:val="FPP3"/>
        <w:numPr>
          <w:ilvl w:val="0"/>
          <w:numId w:val="0"/>
        </w:numPr>
        <w:rPr>
          <w:b/>
          <w:u w:val="single"/>
        </w:rPr>
      </w:pPr>
      <w:r>
        <w:rPr>
          <w:b/>
        </w:rPr>
        <w:t>5.2.</w:t>
      </w:r>
      <w:r>
        <w:rPr>
          <w:b/>
        </w:rPr>
        <w:tab/>
      </w:r>
      <w:r>
        <w:rPr>
          <w:b/>
          <w:u w:val="single"/>
        </w:rPr>
        <w:t>Turbine Operating Range</w:t>
      </w:r>
    </w:p>
    <w:p w:rsidR="00DA0D28" w:rsidRDefault="00DA0D28" w:rsidP="00DA0D28">
      <w:pPr>
        <w:pStyle w:val="FPP3"/>
        <w:numPr>
          <w:ilvl w:val="0"/>
          <w:numId w:val="0"/>
        </w:numPr>
      </w:pPr>
      <w:r>
        <w:rPr>
          <w:b/>
        </w:rPr>
        <w:t xml:space="preserve">5.2.1. </w:t>
      </w:r>
      <w:r>
        <w:t xml:space="preserve">Lower and upper limits of the turbine </w:t>
      </w:r>
      <w:r w:rsidR="009764BA">
        <w:t xml:space="preserve">unit </w:t>
      </w:r>
      <w:r>
        <w:t xml:space="preserve">operating ranges at PH1 and PH2 are defined in </w:t>
      </w:r>
      <w:r>
        <w:rPr>
          <w:b/>
        </w:rPr>
        <w:t>Table BON-1</w:t>
      </w:r>
      <w:r w:rsidR="00765427">
        <w:rPr>
          <w:b/>
        </w:rPr>
        <w:t>5</w:t>
      </w:r>
      <w:r>
        <w:t>.</w:t>
      </w:r>
    </w:p>
    <w:p w:rsidR="00DA0D28" w:rsidRPr="00DA0D28" w:rsidRDefault="00DA0D28" w:rsidP="00DA0D28">
      <w:pPr>
        <w:pStyle w:val="FPP3"/>
        <w:numPr>
          <w:ilvl w:val="0"/>
          <w:numId w:val="0"/>
        </w:numPr>
      </w:pPr>
      <w:r w:rsidRPr="00DA0D28">
        <w:rPr>
          <w:b/>
        </w:rPr>
        <w:t xml:space="preserve">5.2.2. </w:t>
      </w:r>
      <w:r w:rsidRPr="00C83C2F">
        <w:rPr>
          <w:b/>
          <w:bCs/>
        </w:rPr>
        <w:t xml:space="preserve">In-Season (April 1–October 31). </w:t>
      </w:r>
      <w:r w:rsidR="00F86793">
        <w:rPr>
          <w:bCs/>
        </w:rPr>
        <w:t>A</w:t>
      </w:r>
      <w:r w:rsidR="00F86793">
        <w:t xml:space="preserve">s defined in </w:t>
      </w:r>
      <w:r w:rsidR="00F86793">
        <w:rPr>
          <w:i/>
        </w:rPr>
        <w:t>BPA’s Load Shaping Guidelines</w:t>
      </w:r>
      <w:r w:rsidR="00F86793">
        <w:t xml:space="preserve"> in </w:t>
      </w:r>
      <w:r w:rsidR="00F86793">
        <w:rPr>
          <w:b/>
        </w:rPr>
        <w:t>Appendix C</w:t>
      </w:r>
      <w:r w:rsidR="00F86793">
        <w:t>, t</w:t>
      </w:r>
      <w:r w:rsidRPr="006F4734">
        <w:t>urbine</w:t>
      </w:r>
      <w:r>
        <w:t xml:space="preserve"> units will be operated </w:t>
      </w:r>
      <w:r w:rsidR="00F86793" w:rsidRPr="006F4734">
        <w:t xml:space="preserve">within ±1% of </w:t>
      </w:r>
      <w:r w:rsidR="00F86793">
        <w:t>peak</w:t>
      </w:r>
      <w:r w:rsidR="00F86793" w:rsidRPr="006F4734">
        <w:t xml:space="preserve"> efficiency </w:t>
      </w:r>
      <w:r w:rsidR="00F86793">
        <w:t>(1% range) to minimize fish impacts, unless otherwise coordinated. At Bonneville Dam, PH1 units may be operated up to the Best Operating Point (BOP)</w:t>
      </w:r>
      <w:r w:rsidR="006B6A0F" w:rsidRPr="006B6A0F">
        <w:t xml:space="preserve"> </w:t>
      </w:r>
      <w:r w:rsidR="006B6A0F" w:rsidRPr="00765427">
        <w:rPr>
          <w:color w:val="FF0000"/>
        </w:rPr>
        <w:t xml:space="preserve">and PH2 units will be operated </w:t>
      </w:r>
      <w:r w:rsidR="009764BA" w:rsidRPr="00765427">
        <w:rPr>
          <w:color w:val="FF0000"/>
        </w:rPr>
        <w:t>in accordance with</w:t>
      </w:r>
      <w:r w:rsidR="00AF177C" w:rsidRPr="00765427">
        <w:rPr>
          <w:color w:val="FF0000"/>
        </w:rPr>
        <w:t xml:space="preserve"> </w:t>
      </w:r>
      <w:r w:rsidR="00EA15B7" w:rsidRPr="00765427">
        <w:rPr>
          <w:color w:val="FF0000"/>
        </w:rPr>
        <w:t xml:space="preserve">the following </w:t>
      </w:r>
      <w:r w:rsidR="00AF177C" w:rsidRPr="00765427">
        <w:rPr>
          <w:color w:val="FF0000"/>
        </w:rPr>
        <w:t>criteria</w:t>
      </w:r>
      <w:r w:rsidR="00EA15B7" w:rsidRPr="00765427">
        <w:rPr>
          <w:color w:val="FF0000"/>
        </w:rPr>
        <w:t>:</w:t>
      </w:r>
      <w:r w:rsidR="00F86793" w:rsidRPr="00765427">
        <w:rPr>
          <w:color w:val="FF0000"/>
        </w:rPr>
        <w:t xml:space="preserve"> </w:t>
      </w:r>
    </w:p>
    <w:p w:rsidR="00DA0D28" w:rsidRDefault="00DA0D28" w:rsidP="00FF6A2D">
      <w:pPr>
        <w:pStyle w:val="FPP3"/>
        <w:numPr>
          <w:ilvl w:val="0"/>
          <w:numId w:val="0"/>
        </w:numPr>
        <w:ind w:left="360"/>
      </w:pPr>
      <w:r>
        <w:rPr>
          <w:b/>
        </w:rPr>
        <w:t xml:space="preserve">5.2.2.1. </w:t>
      </w:r>
      <w:r>
        <w:t>F</w:t>
      </w:r>
      <w:r w:rsidRPr="00535560">
        <w:t>rom April 10 through June 15</w:t>
      </w:r>
      <w:r>
        <w:t xml:space="preserve"> (</w:t>
      </w:r>
      <w:r w:rsidR="00A4066E">
        <w:t xml:space="preserve">FOP </w:t>
      </w:r>
      <w:r>
        <w:t>spring spill)</w:t>
      </w:r>
      <w:r w:rsidR="00FF6A2D">
        <w:t xml:space="preserve">, </w:t>
      </w:r>
      <w:r w:rsidR="009751BF">
        <w:t xml:space="preserve">as a soft constraint, </w:t>
      </w:r>
      <w:r w:rsidRPr="00535560">
        <w:t>PH2 unit</w:t>
      </w:r>
      <w:r>
        <w:t>s</w:t>
      </w:r>
      <w:r w:rsidRPr="00535560">
        <w:t xml:space="preserve"> </w:t>
      </w:r>
      <w:r>
        <w:t xml:space="preserve">should not be operated below the 1% mid-range (&lt; 13 kcfs) to minimize turbulence </w:t>
      </w:r>
      <w:r w:rsidR="00673C09">
        <w:t xml:space="preserve">for turbine-passed fish. </w:t>
      </w:r>
    </w:p>
    <w:p w:rsidR="005C796D" w:rsidRDefault="006B5660" w:rsidP="001908B7">
      <w:pPr>
        <w:pStyle w:val="FPP3"/>
        <w:numPr>
          <w:ilvl w:val="0"/>
          <w:numId w:val="0"/>
        </w:numPr>
        <w:ind w:left="360"/>
        <w:rPr>
          <w:i/>
          <w:color w:val="FF0000"/>
        </w:rPr>
      </w:pPr>
      <w:r>
        <w:rPr>
          <w:b/>
        </w:rPr>
        <w:t>5.2.2.2.</w:t>
      </w:r>
      <w:r>
        <w:t xml:space="preserve"> </w:t>
      </w:r>
      <w:r w:rsidR="002A5EF8">
        <w:rPr>
          <w:color w:val="FF0000"/>
        </w:rPr>
        <w:t>Until gatewell structural modifications are completed, PH2 units will be operated in the 1% mid-range (13</w:t>
      </w:r>
      <w:r w:rsidR="001727CE">
        <w:rPr>
          <w:color w:val="FF0000"/>
        </w:rPr>
        <w:t>–</w:t>
      </w:r>
      <w:r w:rsidR="002A5EF8">
        <w:rPr>
          <w:color w:val="FF0000"/>
        </w:rPr>
        <w:t>15 kcfs) f</w:t>
      </w:r>
      <w:r w:rsidR="00EA15B7" w:rsidRPr="005C796D">
        <w:rPr>
          <w:color w:val="FF0000"/>
        </w:rPr>
        <w:t>rom April 1 through July 31</w:t>
      </w:r>
      <w:r w:rsidR="00A4066E" w:rsidRPr="005C796D">
        <w:rPr>
          <w:color w:val="FF0000"/>
        </w:rPr>
        <w:t xml:space="preserve"> </w:t>
      </w:r>
      <w:r w:rsidR="009751BF" w:rsidRPr="005C796D">
        <w:rPr>
          <w:color w:val="FF0000"/>
        </w:rPr>
        <w:t xml:space="preserve">in order </w:t>
      </w:r>
      <w:r w:rsidR="007246B0" w:rsidRPr="005C796D">
        <w:rPr>
          <w:color w:val="FF0000"/>
        </w:rPr>
        <w:t xml:space="preserve">to minimize turbulence </w:t>
      </w:r>
      <w:r w:rsidR="00673C09" w:rsidRPr="005C796D">
        <w:rPr>
          <w:color w:val="FF0000"/>
        </w:rPr>
        <w:t>for bypassed fish</w:t>
      </w:r>
      <w:r w:rsidR="002A5EF8">
        <w:rPr>
          <w:color w:val="FF0000"/>
        </w:rPr>
        <w:t xml:space="preserve">. </w:t>
      </w:r>
      <w:r w:rsidR="007246B0" w:rsidRPr="005C796D">
        <w:rPr>
          <w:i/>
          <w:color w:val="FF0000"/>
        </w:rPr>
        <w:t xml:space="preserve">RCC will issue a teletype with any </w:t>
      </w:r>
      <w:r w:rsidR="0069000D" w:rsidRPr="005C796D">
        <w:rPr>
          <w:i/>
          <w:color w:val="FF0000"/>
        </w:rPr>
        <w:t xml:space="preserve">in-season modifications </w:t>
      </w:r>
      <w:r w:rsidR="007246B0" w:rsidRPr="005C796D">
        <w:rPr>
          <w:i/>
          <w:color w:val="FF0000"/>
        </w:rPr>
        <w:t>as construction and testing is completed</w:t>
      </w:r>
      <w:r w:rsidR="00A4066E" w:rsidRPr="005C796D">
        <w:rPr>
          <w:color w:val="FF0000"/>
        </w:rPr>
        <w:t>.</w:t>
      </w:r>
      <w:r w:rsidR="002309E3" w:rsidRPr="005C796D">
        <w:rPr>
          <w:i/>
          <w:color w:val="FF0000"/>
        </w:rPr>
        <w:t xml:space="preserve"> </w:t>
      </w:r>
    </w:p>
    <w:p w:rsidR="002309E3" w:rsidRPr="00A4066E" w:rsidRDefault="00EE0329" w:rsidP="00AB68AF">
      <w:pPr>
        <w:pStyle w:val="FPP3"/>
        <w:numPr>
          <w:ilvl w:val="0"/>
          <w:numId w:val="0"/>
        </w:numPr>
        <w:spacing w:after="120"/>
        <w:ind w:left="360"/>
        <w:rPr>
          <w:i/>
        </w:rPr>
      </w:pPr>
      <w:r w:rsidRPr="00765427">
        <w:rPr>
          <w:color w:val="FF0000"/>
        </w:rPr>
        <w:t>Additional flow that is above pro</w:t>
      </w:r>
      <w:r w:rsidR="001727CE">
        <w:rPr>
          <w:color w:val="FF0000"/>
        </w:rPr>
        <w:t xml:space="preserve">ject hydraulic capacity (PH2 </w:t>
      </w:r>
      <w:r w:rsidRPr="00765427">
        <w:rPr>
          <w:color w:val="FF0000"/>
        </w:rPr>
        <w:t xml:space="preserve">mid-range, </w:t>
      </w:r>
      <w:r w:rsidR="001727CE">
        <w:rPr>
          <w:color w:val="FF0000"/>
        </w:rPr>
        <w:t xml:space="preserve">PH1 </w:t>
      </w:r>
      <w:r w:rsidR="004A2620" w:rsidRPr="00765427">
        <w:rPr>
          <w:color w:val="FF0000"/>
        </w:rPr>
        <w:t xml:space="preserve">BOP, </w:t>
      </w:r>
      <w:r w:rsidRPr="00765427">
        <w:rPr>
          <w:color w:val="FF0000"/>
        </w:rPr>
        <w:t>FOP spill, and flow through corner collector, ladders, etc</w:t>
      </w:r>
      <w:r w:rsidR="002A5EF8">
        <w:rPr>
          <w:color w:val="FF0000"/>
        </w:rPr>
        <w:t>.</w:t>
      </w:r>
      <w:r w:rsidRPr="00765427">
        <w:rPr>
          <w:color w:val="FF0000"/>
        </w:rPr>
        <w:t xml:space="preserve">) will be passed in the following sequential order </w:t>
      </w:r>
      <w:r w:rsidR="005C796D">
        <w:rPr>
          <w:color w:val="FF0000"/>
        </w:rPr>
        <w:t xml:space="preserve">with increasing </w:t>
      </w:r>
      <w:r w:rsidR="002A5EF8">
        <w:rPr>
          <w:color w:val="FF0000"/>
        </w:rPr>
        <w:t xml:space="preserve">levels of </w:t>
      </w:r>
      <w:r w:rsidR="005C796D">
        <w:rPr>
          <w:color w:val="FF0000"/>
        </w:rPr>
        <w:t>flow</w:t>
      </w:r>
      <w:r w:rsidR="00765427" w:rsidRPr="00765427">
        <w:rPr>
          <w:color w:val="FF0000"/>
        </w:rPr>
        <w:t xml:space="preserve"> (also see summary in </w:t>
      </w:r>
      <w:r w:rsidR="00765427" w:rsidRPr="00765427">
        <w:rPr>
          <w:b/>
          <w:color w:val="FF0000"/>
        </w:rPr>
        <w:t>Table BON-14</w:t>
      </w:r>
      <w:r w:rsidR="00765427" w:rsidRPr="00765427">
        <w:rPr>
          <w:color w:val="FF0000"/>
        </w:rPr>
        <w:t>)</w:t>
      </w:r>
      <w:r w:rsidR="00EF5E1B" w:rsidRPr="00765427">
        <w:rPr>
          <w:color w:val="FF0000"/>
        </w:rPr>
        <w:t>, or as otherwise determined by Project Fisheries based on observed conditions</w:t>
      </w:r>
      <w:r w:rsidRPr="00765427">
        <w:rPr>
          <w:color w:val="FF0000"/>
        </w:rPr>
        <w:t>:</w:t>
      </w:r>
    </w:p>
    <w:p w:rsidR="00375414" w:rsidRDefault="006675FB" w:rsidP="00C2213D">
      <w:pPr>
        <w:pStyle w:val="FPP3"/>
        <w:numPr>
          <w:ilvl w:val="1"/>
          <w:numId w:val="16"/>
        </w:numPr>
        <w:spacing w:before="120" w:after="120"/>
      </w:pPr>
      <w:r w:rsidRPr="005132D3">
        <w:rPr>
          <w:u w:val="single"/>
        </w:rPr>
        <w:t xml:space="preserve">April 1–9 </w:t>
      </w:r>
      <w:r w:rsidR="00845B0F">
        <w:rPr>
          <w:u w:val="single"/>
        </w:rPr>
        <w:t>Pre-Spring Spill</w:t>
      </w:r>
      <w:r w:rsidR="00375414">
        <w:rPr>
          <w:u w:val="single"/>
        </w:rPr>
        <w:t xml:space="preserve"> </w:t>
      </w:r>
      <w:r w:rsidRPr="005132D3">
        <w:rPr>
          <w:u w:val="single"/>
        </w:rPr>
        <w:t>and June 16 – July 31</w:t>
      </w:r>
      <w:r w:rsidR="00845B0F">
        <w:rPr>
          <w:u w:val="single"/>
        </w:rPr>
        <w:t xml:space="preserve"> </w:t>
      </w:r>
      <w:r w:rsidR="00375414">
        <w:rPr>
          <w:u w:val="single"/>
        </w:rPr>
        <w:t>Summer Spill</w:t>
      </w:r>
      <w:r>
        <w:t xml:space="preserve">: </w:t>
      </w:r>
    </w:p>
    <w:p w:rsidR="00375414" w:rsidRDefault="00375414" w:rsidP="00C2213D">
      <w:pPr>
        <w:pStyle w:val="FPP3"/>
        <w:numPr>
          <w:ilvl w:val="2"/>
          <w:numId w:val="16"/>
        </w:numPr>
        <w:spacing w:after="120"/>
      </w:pPr>
      <w:r>
        <w:t xml:space="preserve">Increase </w:t>
      </w:r>
      <w:r w:rsidR="006675FB">
        <w:t xml:space="preserve">PH2 units up to </w:t>
      </w:r>
      <w:r w:rsidR="005132D3">
        <w:t xml:space="preserve">the </w:t>
      </w:r>
      <w:r w:rsidR="006675FB">
        <w:t>1% upper limit</w:t>
      </w:r>
      <w:r>
        <w:t>;</w:t>
      </w:r>
    </w:p>
    <w:p w:rsidR="00375414" w:rsidRDefault="00375414" w:rsidP="00375414">
      <w:pPr>
        <w:pStyle w:val="FPP3"/>
        <w:numPr>
          <w:ilvl w:val="2"/>
          <w:numId w:val="16"/>
        </w:numPr>
      </w:pPr>
      <w:r>
        <w:t>Then, increase spill.</w:t>
      </w:r>
    </w:p>
    <w:p w:rsidR="00375414" w:rsidRDefault="00375414" w:rsidP="00C2213D">
      <w:pPr>
        <w:pStyle w:val="FPP3"/>
        <w:numPr>
          <w:ilvl w:val="1"/>
          <w:numId w:val="16"/>
        </w:numPr>
        <w:spacing w:after="120"/>
      </w:pPr>
      <w:r w:rsidRPr="005132D3">
        <w:rPr>
          <w:u w:val="single"/>
        </w:rPr>
        <w:t xml:space="preserve">April 10 – </w:t>
      </w:r>
      <w:r w:rsidR="00F011A9">
        <w:rPr>
          <w:u w:val="single"/>
        </w:rPr>
        <w:t xml:space="preserve">June 15 </w:t>
      </w:r>
      <w:r w:rsidRPr="005132D3">
        <w:rPr>
          <w:u w:val="single"/>
        </w:rPr>
        <w:t>Spring Spill</w:t>
      </w:r>
      <w:r w:rsidR="009764BA">
        <w:rPr>
          <w:u w:val="single"/>
        </w:rPr>
        <w:t xml:space="preserve"> </w:t>
      </w:r>
      <w:r w:rsidR="00CD116D">
        <w:rPr>
          <w:u w:val="single"/>
        </w:rPr>
        <w:t>w/</w:t>
      </w:r>
      <w:r w:rsidR="009764BA">
        <w:rPr>
          <w:u w:val="single"/>
        </w:rPr>
        <w:t xml:space="preserve"> Juvenile </w:t>
      </w:r>
      <w:r>
        <w:rPr>
          <w:u w:val="single"/>
        </w:rPr>
        <w:t>Trigger</w:t>
      </w:r>
      <w:r>
        <w:t xml:space="preserve">: </w:t>
      </w:r>
      <w:r w:rsidR="00F011A9">
        <w:t>W</w:t>
      </w:r>
      <w:r>
        <w:t xml:space="preserve">hen </w:t>
      </w:r>
      <w:r w:rsidRPr="0045254D">
        <w:t xml:space="preserve">juvenile </w:t>
      </w:r>
      <w:r>
        <w:t>s</w:t>
      </w:r>
      <w:r w:rsidRPr="0045254D">
        <w:t>pring Chinook collection counts</w:t>
      </w:r>
      <w:bookmarkStart w:id="4" w:name="_Ref1477677"/>
      <w:r w:rsidR="009764BA" w:rsidRPr="00D75672">
        <w:rPr>
          <w:rStyle w:val="FootnoteReference"/>
        </w:rPr>
        <w:footnoteReference w:id="1"/>
      </w:r>
      <w:bookmarkEnd w:id="4"/>
      <w:r>
        <w:t xml:space="preserve"> are greater than</w:t>
      </w:r>
      <w:r w:rsidRPr="0045254D">
        <w:t xml:space="preserve"> adult </w:t>
      </w:r>
      <w:r>
        <w:t xml:space="preserve">spring Chinook </w:t>
      </w:r>
      <w:r w:rsidRPr="0045254D">
        <w:t xml:space="preserve">total passage </w:t>
      </w:r>
      <w:r>
        <w:t>counts</w:t>
      </w:r>
      <w:bookmarkStart w:id="5" w:name="_Ref1477709"/>
      <w:r w:rsidR="009764BA" w:rsidRPr="00DF3A2B">
        <w:rPr>
          <w:rStyle w:val="FootnoteReference"/>
        </w:rPr>
        <w:footnoteReference w:id="2"/>
      </w:r>
      <w:bookmarkEnd w:id="5"/>
      <w:r>
        <w:t xml:space="preserve"> (excluding jacks) </w:t>
      </w:r>
      <w:r w:rsidRPr="0045254D">
        <w:t xml:space="preserve">for </w:t>
      </w:r>
      <w:r w:rsidR="004D0F9D">
        <w:t xml:space="preserve">at least </w:t>
      </w:r>
      <w:r>
        <w:t>three</w:t>
      </w:r>
      <w:r w:rsidRPr="0045254D">
        <w:t xml:space="preserve"> consecutive days</w:t>
      </w:r>
      <w:r>
        <w:t xml:space="preserve">, Project Fisheries will notify the control room to </w:t>
      </w:r>
      <w:r w:rsidR="00F1703B">
        <w:t>pass additional flow</w:t>
      </w:r>
      <w:r>
        <w:t xml:space="preserve"> as follows:</w:t>
      </w:r>
    </w:p>
    <w:p w:rsidR="00375414" w:rsidRPr="0006451C" w:rsidRDefault="00CD116D" w:rsidP="00C2213D">
      <w:pPr>
        <w:pStyle w:val="FPP3"/>
        <w:numPr>
          <w:ilvl w:val="2"/>
          <w:numId w:val="16"/>
        </w:numPr>
        <w:spacing w:after="120"/>
        <w:rPr>
          <w:color w:val="FF0000"/>
          <w:szCs w:val="24"/>
        </w:rPr>
      </w:pPr>
      <w:r>
        <w:t xml:space="preserve">Maintain PH2 units within the </w:t>
      </w:r>
      <w:r w:rsidR="00375414">
        <w:t>mid-range and increase spill</w:t>
      </w:r>
      <w:r w:rsidR="009764BA">
        <w:t xml:space="preserve"> </w:t>
      </w:r>
      <w:r w:rsidR="005C1BF5" w:rsidRPr="00765427">
        <w:rPr>
          <w:color w:val="FF0000"/>
        </w:rPr>
        <w:t>up to a maximum</w:t>
      </w:r>
      <w:r w:rsidR="005C1BF5" w:rsidRPr="0006451C">
        <w:rPr>
          <w:color w:val="FF0000"/>
          <w:szCs w:val="24"/>
        </w:rPr>
        <w:t xml:space="preserve"> of 150 kcfs to avoid </w:t>
      </w:r>
      <w:r w:rsidR="00FC50EC" w:rsidRPr="0006451C">
        <w:rPr>
          <w:color w:val="FF0000"/>
          <w:szCs w:val="24"/>
        </w:rPr>
        <w:t>causing</w:t>
      </w:r>
      <w:r w:rsidR="005C1BF5" w:rsidRPr="0006451C">
        <w:rPr>
          <w:color w:val="FF0000"/>
          <w:szCs w:val="24"/>
        </w:rPr>
        <w:t xml:space="preserve"> erosion in the spillway stilling basin</w:t>
      </w:r>
      <w:r w:rsidR="0006451C" w:rsidRPr="0006451C">
        <w:rPr>
          <w:color w:val="FF0000"/>
          <w:szCs w:val="24"/>
        </w:rPr>
        <w:t xml:space="preserve">. </w:t>
      </w:r>
      <w:r w:rsidR="0006451C" w:rsidRPr="0006451C">
        <w:rPr>
          <w:i/>
          <w:color w:val="FF0000"/>
          <w:szCs w:val="24"/>
        </w:rPr>
        <w:t>This applies to both Performance Standard spill (100 kcfs) and Gas Cap spill. DO NOT SHAPE TO ONLY APPLY TO HOURS OF GAS CAP SPILL</w:t>
      </w:r>
      <w:r w:rsidR="005C1BF5" w:rsidRPr="0006451C">
        <w:rPr>
          <w:color w:val="FF0000"/>
          <w:szCs w:val="24"/>
        </w:rPr>
        <w:t>;</w:t>
      </w:r>
    </w:p>
    <w:p w:rsidR="009764BA" w:rsidRPr="00765427" w:rsidRDefault="005C1BF5" w:rsidP="00C2213D">
      <w:pPr>
        <w:pStyle w:val="FPP3"/>
        <w:numPr>
          <w:ilvl w:val="2"/>
          <w:numId w:val="16"/>
        </w:numPr>
        <w:spacing w:after="120"/>
        <w:rPr>
          <w:color w:val="FF0000"/>
        </w:rPr>
      </w:pPr>
      <w:r w:rsidRPr="00765427">
        <w:rPr>
          <w:color w:val="FF0000"/>
        </w:rPr>
        <w:lastRenderedPageBreak/>
        <w:t>Then, increase PH2 units up to the 1% upper limit in order from south to north (</w:t>
      </w:r>
      <w:r w:rsidR="00845B0F">
        <w:rPr>
          <w:color w:val="FF0000"/>
        </w:rPr>
        <w:t xml:space="preserve">Unit </w:t>
      </w:r>
      <w:r w:rsidRPr="00765427">
        <w:rPr>
          <w:color w:val="FF0000"/>
        </w:rPr>
        <w:t xml:space="preserve">11 to </w:t>
      </w:r>
      <w:r w:rsidR="00845B0F">
        <w:rPr>
          <w:color w:val="FF0000"/>
        </w:rPr>
        <w:t xml:space="preserve">Unit </w:t>
      </w:r>
      <w:r w:rsidRPr="00765427">
        <w:rPr>
          <w:color w:val="FF0000"/>
        </w:rPr>
        <w:t xml:space="preserve">18) – </w:t>
      </w:r>
      <w:r w:rsidRPr="00765427">
        <w:rPr>
          <w:i/>
          <w:color w:val="FF0000"/>
        </w:rPr>
        <w:t>NOTIFY</w:t>
      </w:r>
      <w:r w:rsidRPr="00765427">
        <w:rPr>
          <w:color w:val="FF0000"/>
        </w:rPr>
        <w:t xml:space="preserve"> </w:t>
      </w:r>
      <w:r w:rsidRPr="00765427">
        <w:rPr>
          <w:i/>
          <w:color w:val="FF0000"/>
        </w:rPr>
        <w:t>FPOM ASAP (within 3 work days) and include in the Weekly Report</w:t>
      </w:r>
      <w:r w:rsidRPr="00765427">
        <w:rPr>
          <w:color w:val="FF0000"/>
        </w:rPr>
        <w:t>;</w:t>
      </w:r>
    </w:p>
    <w:p w:rsidR="005C3A9F" w:rsidRPr="00765427" w:rsidRDefault="005C1BF5" w:rsidP="00C2213D">
      <w:pPr>
        <w:pStyle w:val="FPP3"/>
        <w:numPr>
          <w:ilvl w:val="2"/>
          <w:numId w:val="16"/>
        </w:numPr>
        <w:spacing w:after="120"/>
        <w:rPr>
          <w:color w:val="FF0000"/>
        </w:rPr>
      </w:pPr>
      <w:r w:rsidRPr="00765427">
        <w:rPr>
          <w:color w:val="FF0000"/>
        </w:rPr>
        <w:t>Then, increase spill above 150 kcfs</w:t>
      </w:r>
      <w:r w:rsidR="00991952" w:rsidRPr="00765427">
        <w:rPr>
          <w:color w:val="FF0000"/>
        </w:rPr>
        <w:t>,</w:t>
      </w:r>
      <w:r w:rsidR="00F011A9" w:rsidRPr="00765427">
        <w:rPr>
          <w:color w:val="FF0000"/>
        </w:rPr>
        <w:t xml:space="preserve"> up to 180 kcfs</w:t>
      </w:r>
      <w:r w:rsidRPr="00765427">
        <w:rPr>
          <w:color w:val="FF0000"/>
        </w:rPr>
        <w:t>.</w:t>
      </w:r>
    </w:p>
    <w:p w:rsidR="00CD116D" w:rsidRPr="00765427" w:rsidRDefault="005C1BF5" w:rsidP="00D9640C">
      <w:pPr>
        <w:pStyle w:val="FPP3"/>
        <w:numPr>
          <w:ilvl w:val="2"/>
          <w:numId w:val="16"/>
        </w:numPr>
        <w:spacing w:after="120"/>
        <w:rPr>
          <w:color w:val="FF0000"/>
        </w:rPr>
      </w:pPr>
      <w:r w:rsidRPr="00765427">
        <w:rPr>
          <w:color w:val="FF0000"/>
        </w:rPr>
        <w:t>Then, increase</w:t>
      </w:r>
      <w:r w:rsidR="00F011A9" w:rsidRPr="00765427">
        <w:rPr>
          <w:color w:val="FF0000"/>
        </w:rPr>
        <w:t xml:space="preserve"> spill</w:t>
      </w:r>
      <w:r w:rsidRPr="00765427">
        <w:rPr>
          <w:color w:val="FF0000"/>
        </w:rPr>
        <w:t xml:space="preserve"> above 180 kcfs</w:t>
      </w:r>
      <w:r w:rsidR="00F011A9" w:rsidRPr="00765427">
        <w:rPr>
          <w:color w:val="FF0000"/>
        </w:rPr>
        <w:t xml:space="preserve"> and </w:t>
      </w:r>
      <w:r w:rsidRPr="00765427">
        <w:rPr>
          <w:color w:val="FF0000"/>
        </w:rPr>
        <w:t xml:space="preserve">resume operating PH2 units within the mid-range. </w:t>
      </w:r>
      <w:r w:rsidRPr="00EB580D">
        <w:rPr>
          <w:i/>
          <w:color w:val="FF0000"/>
        </w:rPr>
        <w:t>PH2 UNITS MAY ONLY BE OPERATED ABOVE THE MID-RANGE WHEN SPILL IS GREATER THAN OR EQUAL TO 150 KCFS, UP TO A MAXIMUM OF 180 KCFS.</w:t>
      </w:r>
    </w:p>
    <w:p w:rsidR="00375414" w:rsidRDefault="006675FB" w:rsidP="00C2213D">
      <w:pPr>
        <w:pStyle w:val="FPP3"/>
        <w:numPr>
          <w:ilvl w:val="1"/>
          <w:numId w:val="16"/>
        </w:numPr>
        <w:spacing w:before="240" w:after="120"/>
      </w:pPr>
      <w:r w:rsidRPr="005132D3">
        <w:rPr>
          <w:u w:val="single"/>
        </w:rPr>
        <w:t>April 10 – June 15 (</w:t>
      </w:r>
      <w:r w:rsidR="00A4066E">
        <w:rPr>
          <w:u w:val="single"/>
        </w:rPr>
        <w:t xml:space="preserve">FOP </w:t>
      </w:r>
      <w:r w:rsidRPr="005132D3">
        <w:rPr>
          <w:u w:val="single"/>
        </w:rPr>
        <w:t>Spring Spill)</w:t>
      </w:r>
      <w:r w:rsidR="009764BA">
        <w:rPr>
          <w:u w:val="single"/>
        </w:rPr>
        <w:t xml:space="preserve"> </w:t>
      </w:r>
      <w:r w:rsidR="00EE0329">
        <w:rPr>
          <w:u w:val="single"/>
        </w:rPr>
        <w:t>w/</w:t>
      </w:r>
      <w:r w:rsidR="009764BA">
        <w:rPr>
          <w:u w:val="single"/>
        </w:rPr>
        <w:t xml:space="preserve"> Adult </w:t>
      </w:r>
      <w:r w:rsidR="00375414">
        <w:rPr>
          <w:u w:val="single"/>
        </w:rPr>
        <w:t>Trigger</w:t>
      </w:r>
      <w:r w:rsidR="00375414">
        <w:t xml:space="preserve">: </w:t>
      </w:r>
      <w:r w:rsidR="00673C09" w:rsidRPr="00D75672">
        <w:t>when adult spring Chinook total passage cou</w:t>
      </w:r>
      <w:r w:rsidR="00673C09" w:rsidRPr="00DF3A2B">
        <w:t>nts</w:t>
      </w:r>
      <w:r w:rsidR="009764BA" w:rsidRPr="006675FB">
        <w:rPr>
          <w:vertAlign w:val="superscript"/>
        </w:rPr>
        <w:t>1</w:t>
      </w:r>
      <w:r w:rsidR="00673C09" w:rsidRPr="00DF3A2B">
        <w:t xml:space="preserve"> </w:t>
      </w:r>
      <w:r w:rsidR="00673C09" w:rsidRPr="00D75672">
        <w:t>(excluding jacks) are greater than juvenile spring Chinook collection counts</w:t>
      </w:r>
      <w:r w:rsidR="009764BA">
        <w:rPr>
          <w:vertAlign w:val="superscript"/>
        </w:rPr>
        <w:t>2</w:t>
      </w:r>
      <w:r w:rsidR="00673C09" w:rsidRPr="00D75672">
        <w:t xml:space="preserve"> for two consecutive days, Project Fisheries will notify the control room to </w:t>
      </w:r>
      <w:r w:rsidR="00F1703B">
        <w:t>pass additional flow</w:t>
      </w:r>
      <w:r w:rsidR="00375414">
        <w:t xml:space="preserve"> as follows:</w:t>
      </w:r>
    </w:p>
    <w:p w:rsidR="007246B0" w:rsidRDefault="009764BA" w:rsidP="00C2213D">
      <w:pPr>
        <w:pStyle w:val="FPP3"/>
        <w:numPr>
          <w:ilvl w:val="2"/>
          <w:numId w:val="16"/>
        </w:numPr>
        <w:spacing w:after="120"/>
      </w:pPr>
      <w:r>
        <w:t xml:space="preserve">Increase </w:t>
      </w:r>
      <w:r w:rsidR="00673C09">
        <w:t>PH2 units up to the 1% upper limit in order from north to south</w:t>
      </w:r>
      <w:r>
        <w:t xml:space="preserve"> (</w:t>
      </w:r>
      <w:r w:rsidR="0013619C">
        <w:t xml:space="preserve">Unit </w:t>
      </w:r>
      <w:r w:rsidR="00375414">
        <w:t>18</w:t>
      </w:r>
      <w:r>
        <w:t xml:space="preserve"> to </w:t>
      </w:r>
      <w:r w:rsidR="0013619C">
        <w:t xml:space="preserve">Unit </w:t>
      </w:r>
      <w:r w:rsidR="00375414">
        <w:t>11</w:t>
      </w:r>
      <w:r>
        <w:t>)</w:t>
      </w:r>
      <w:r w:rsidR="00375414">
        <w:t>;</w:t>
      </w:r>
    </w:p>
    <w:p w:rsidR="00375414" w:rsidRDefault="00375414" w:rsidP="00375414">
      <w:pPr>
        <w:pStyle w:val="FPP3"/>
        <w:numPr>
          <w:ilvl w:val="2"/>
          <w:numId w:val="16"/>
        </w:numPr>
      </w:pPr>
      <w:r>
        <w:t>Then, increase spill.</w:t>
      </w:r>
    </w:p>
    <w:p w:rsidR="00765427" w:rsidRPr="00765427" w:rsidRDefault="00765427" w:rsidP="00765427">
      <w:pPr>
        <w:pStyle w:val="Caption"/>
        <w:keepNext/>
        <w:rPr>
          <w:color w:val="FF0000"/>
        </w:rPr>
      </w:pPr>
      <w:r w:rsidRPr="00765427">
        <w:rPr>
          <w:color w:val="FF0000"/>
        </w:rPr>
        <w:t xml:space="preserve">Table BON-14. </w:t>
      </w:r>
      <w:r w:rsidR="005C796D">
        <w:rPr>
          <w:color w:val="FF0000"/>
        </w:rPr>
        <w:t xml:space="preserve">Sequential Steps for Passing Increasing Levels of Flow, per </w:t>
      </w:r>
      <w:r w:rsidRPr="00765427">
        <w:rPr>
          <w:color w:val="FF0000"/>
        </w:rPr>
        <w:t xml:space="preserve">Modified PH2 </w:t>
      </w:r>
      <w:r w:rsidR="002A5EF8">
        <w:rPr>
          <w:color w:val="FF0000"/>
        </w:rPr>
        <w:t>Operating Range Guidelines</w:t>
      </w:r>
      <w:r w:rsidR="00192D8F">
        <w:rPr>
          <w:color w:val="FF0000"/>
        </w:rPr>
        <w:t xml:space="preserve"> (section 5.2.2.2)</w:t>
      </w:r>
      <w:r w:rsidRPr="00765427">
        <w:rPr>
          <w:color w:val="FF0000"/>
        </w:rPr>
        <w:t xml:space="preserve">. </w:t>
      </w:r>
    </w:p>
    <w:tbl>
      <w:tblPr>
        <w:tblW w:w="0" w:type="auto"/>
        <w:jc w:val="center"/>
        <w:tblLayout w:type="fixed"/>
        <w:tblLook w:val="04A0" w:firstRow="1" w:lastRow="0" w:firstColumn="1" w:lastColumn="0" w:noHBand="0" w:noVBand="1"/>
      </w:tblPr>
      <w:tblGrid>
        <w:gridCol w:w="1875"/>
        <w:gridCol w:w="7455"/>
      </w:tblGrid>
      <w:tr w:rsidR="00765427" w:rsidRPr="00765427" w:rsidTr="00765427">
        <w:trPr>
          <w:trHeight w:val="300"/>
          <w:jc w:val="center"/>
        </w:trPr>
        <w:tc>
          <w:tcPr>
            <w:tcW w:w="1875" w:type="dxa"/>
            <w:tcBorders>
              <w:top w:val="single" w:sz="12" w:space="0" w:color="auto"/>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April 1</w:t>
            </w:r>
            <w:r w:rsidR="004F4885">
              <w:rPr>
                <w:rFonts w:asciiTheme="minorHAnsi" w:hAnsiTheme="minorHAnsi" w:cstheme="minorHAnsi"/>
                <w:b/>
                <w:bCs/>
                <w:color w:val="FF0000"/>
                <w:sz w:val="22"/>
                <w:szCs w:val="22"/>
              </w:rPr>
              <w:t xml:space="preserve"> – </w:t>
            </w:r>
            <w:r w:rsidRPr="00765427">
              <w:rPr>
                <w:rFonts w:asciiTheme="minorHAnsi" w:hAnsiTheme="minorHAnsi" w:cstheme="minorHAnsi"/>
                <w:b/>
                <w:bCs/>
                <w:color w:val="FF0000"/>
                <w:sz w:val="22"/>
                <w:szCs w:val="22"/>
              </w:rPr>
              <w:t>9</w:t>
            </w:r>
          </w:p>
        </w:tc>
        <w:tc>
          <w:tcPr>
            <w:tcW w:w="7455" w:type="dxa"/>
            <w:tcBorders>
              <w:top w:val="single" w:sz="12" w:space="0" w:color="auto"/>
              <w:left w:val="single" w:sz="12" w:space="0" w:color="auto"/>
              <w:bottom w:val="nil"/>
              <w:right w:val="single" w:sz="12" w:space="0" w:color="auto"/>
            </w:tcBorders>
            <w:shd w:val="clear" w:color="auto" w:fill="auto"/>
            <w:noWrap/>
            <w:vAlign w:val="bottom"/>
            <w:hideMark/>
          </w:tcPr>
          <w:p w:rsidR="00D36A40" w:rsidRPr="005C796D" w:rsidRDefault="005C796D" w:rsidP="00C56EA0">
            <w:pPr>
              <w:pStyle w:val="ListParagraph"/>
              <w:numPr>
                <w:ilvl w:val="0"/>
                <w:numId w:val="17"/>
              </w:numPr>
              <w:rPr>
                <w:rFonts w:asciiTheme="minorHAnsi" w:hAnsiTheme="minorHAnsi" w:cstheme="minorHAnsi"/>
                <w:color w:val="FF0000"/>
                <w:sz w:val="22"/>
                <w:szCs w:val="22"/>
              </w:rPr>
            </w:pPr>
            <w:r>
              <w:rPr>
                <w:rFonts w:asciiTheme="minorHAnsi" w:hAnsiTheme="minorHAnsi" w:cstheme="minorHAnsi"/>
                <w:color w:val="FF0000"/>
                <w:sz w:val="22"/>
                <w:szCs w:val="22"/>
              </w:rPr>
              <w:t xml:space="preserve">PH2 </w:t>
            </w:r>
            <w:r w:rsidR="002A1B24" w:rsidRPr="005C796D">
              <w:rPr>
                <w:rFonts w:asciiTheme="minorHAnsi" w:hAnsiTheme="minorHAnsi" w:cstheme="minorHAnsi"/>
                <w:color w:val="FF0000"/>
                <w:sz w:val="22"/>
                <w:szCs w:val="22"/>
              </w:rPr>
              <w:t>Mid-Range</w:t>
            </w:r>
            <w:r w:rsidR="002A5EF8">
              <w:rPr>
                <w:rFonts w:asciiTheme="minorHAnsi" w:hAnsiTheme="minorHAnsi" w:cstheme="minorHAnsi"/>
                <w:color w:val="FF0000"/>
                <w:sz w:val="22"/>
                <w:szCs w:val="22"/>
              </w:rPr>
              <w:t>,</w:t>
            </w:r>
            <w:r>
              <w:rPr>
                <w:rFonts w:asciiTheme="minorHAnsi" w:hAnsiTheme="minorHAnsi" w:cstheme="minorHAnsi"/>
                <w:color w:val="FF0000"/>
                <w:sz w:val="22"/>
                <w:szCs w:val="22"/>
              </w:rPr>
              <w:t xml:space="preserve"> PH1 </w:t>
            </w:r>
            <w:r w:rsidR="00D36A40" w:rsidRPr="005C796D">
              <w:rPr>
                <w:rFonts w:asciiTheme="minorHAnsi" w:hAnsiTheme="minorHAnsi" w:cstheme="minorHAnsi"/>
                <w:color w:val="FF0000"/>
                <w:sz w:val="22"/>
                <w:szCs w:val="22"/>
              </w:rPr>
              <w:t>BOP</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Pre-FOP Spill</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D36A40"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 xml:space="preserve">increase </w:t>
            </w:r>
            <w:r w:rsidRPr="005C796D">
              <w:rPr>
                <w:rFonts w:asciiTheme="minorHAnsi" w:hAnsiTheme="minorHAnsi" w:cstheme="minorHAnsi"/>
                <w:color w:val="FF0000"/>
                <w:sz w:val="22"/>
                <w:szCs w:val="22"/>
              </w:rPr>
              <w:t xml:space="preserve">PH2 </w:t>
            </w:r>
            <w:r w:rsidR="005C796D">
              <w:rPr>
                <w:rFonts w:asciiTheme="minorHAnsi" w:hAnsiTheme="minorHAnsi" w:cstheme="minorHAnsi"/>
                <w:color w:val="FF0000"/>
                <w:sz w:val="22"/>
                <w:szCs w:val="22"/>
              </w:rPr>
              <w:t xml:space="preserve">&gt; Mid-Range </w:t>
            </w:r>
            <w:r w:rsidRPr="005C796D">
              <w:rPr>
                <w:rFonts w:asciiTheme="minorHAnsi" w:hAnsiTheme="minorHAnsi" w:cstheme="minorHAnsi"/>
                <w:color w:val="FF0000"/>
                <w:sz w:val="22"/>
                <w:szCs w:val="22"/>
              </w:rPr>
              <w:t>up to 1% Upper Limit</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single" w:sz="4" w:space="0" w:color="auto"/>
              <w:right w:val="single" w:sz="12" w:space="0" w:color="auto"/>
            </w:tcBorders>
            <w:shd w:val="clear" w:color="auto" w:fill="auto"/>
            <w:noWrap/>
            <w:vAlign w:val="bottom"/>
            <w:hideMark/>
          </w:tcPr>
          <w:p w:rsidR="00D36A40" w:rsidRPr="005C796D" w:rsidRDefault="00765427"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increase </w:t>
            </w:r>
            <w:r w:rsidR="001927D5" w:rsidRPr="005C796D">
              <w:rPr>
                <w:rFonts w:asciiTheme="minorHAnsi" w:hAnsiTheme="minorHAnsi" w:cstheme="minorHAnsi"/>
                <w:color w:val="FF0000"/>
                <w:sz w:val="22"/>
                <w:szCs w:val="22"/>
              </w:rPr>
              <w:t>s</w:t>
            </w:r>
            <w:r w:rsidR="00D36A40" w:rsidRPr="005C796D">
              <w:rPr>
                <w:rFonts w:asciiTheme="minorHAnsi" w:hAnsiTheme="minorHAnsi" w:cstheme="minorHAnsi"/>
                <w:color w:val="FF0000"/>
                <w:sz w:val="22"/>
                <w:szCs w:val="22"/>
              </w:rPr>
              <w:t>pill</w:t>
            </w:r>
            <w:r w:rsidR="006E69B6" w:rsidRPr="005C796D">
              <w:rPr>
                <w:rFonts w:asciiTheme="minorHAnsi" w:hAnsiTheme="minorHAnsi" w:cstheme="minorHAnsi"/>
                <w:color w:val="FF0000"/>
                <w:sz w:val="22"/>
                <w:szCs w:val="22"/>
              </w:rPr>
              <w:t>.</w:t>
            </w:r>
            <w:r w:rsidR="00D36A40" w:rsidRPr="005C796D">
              <w:rPr>
                <w:rFonts w:asciiTheme="minorHAnsi" w:hAnsiTheme="minorHAnsi" w:cstheme="minorHAnsi"/>
                <w:color w:val="FF0000"/>
                <w:sz w:val="22"/>
                <w:szCs w:val="22"/>
              </w:rPr>
              <w:t xml:space="preserve"> </w:t>
            </w:r>
          </w:p>
        </w:tc>
      </w:tr>
      <w:tr w:rsidR="00765427" w:rsidRPr="00765427" w:rsidTr="00765427">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xml:space="preserve">April 10 </w:t>
            </w:r>
            <w:r w:rsidR="004F4885">
              <w:rPr>
                <w:rFonts w:asciiTheme="minorHAnsi" w:hAnsiTheme="minorHAnsi" w:cstheme="minorHAnsi"/>
                <w:b/>
                <w:bCs/>
                <w:color w:val="FF0000"/>
                <w:sz w:val="22"/>
                <w:szCs w:val="22"/>
              </w:rPr>
              <w:t>–</w:t>
            </w:r>
            <w:r w:rsidRPr="00765427">
              <w:rPr>
                <w:rFonts w:asciiTheme="minorHAnsi" w:hAnsiTheme="minorHAnsi" w:cstheme="minorHAnsi"/>
                <w:b/>
                <w:bCs/>
                <w:color w:val="FF0000"/>
                <w:sz w:val="22"/>
                <w:szCs w:val="22"/>
              </w:rPr>
              <w:t xml:space="preserve"> June 15</w:t>
            </w:r>
          </w:p>
        </w:tc>
        <w:tc>
          <w:tcPr>
            <w:tcW w:w="7455" w:type="dxa"/>
            <w:tcBorders>
              <w:top w:val="single" w:sz="4" w:space="0" w:color="auto"/>
              <w:left w:val="single" w:sz="12" w:space="0" w:color="auto"/>
              <w:bottom w:val="nil"/>
              <w:right w:val="single" w:sz="12" w:space="0" w:color="auto"/>
            </w:tcBorders>
            <w:shd w:val="clear" w:color="auto" w:fill="auto"/>
            <w:noWrap/>
            <w:vAlign w:val="center"/>
            <w:hideMark/>
          </w:tcPr>
          <w:p w:rsidR="00D36A40" w:rsidRPr="00765427" w:rsidRDefault="00D36A40" w:rsidP="00C56EA0">
            <w:pPr>
              <w:rPr>
                <w:rFonts w:asciiTheme="minorHAnsi" w:hAnsiTheme="minorHAnsi" w:cstheme="minorHAnsi"/>
                <w:b/>
                <w:bCs/>
                <w:color w:val="FF0000"/>
                <w:sz w:val="22"/>
                <w:szCs w:val="22"/>
                <w:u w:val="single"/>
              </w:rPr>
            </w:pPr>
            <w:r w:rsidRPr="00765427">
              <w:rPr>
                <w:rFonts w:asciiTheme="minorHAnsi" w:hAnsiTheme="minorHAnsi" w:cstheme="minorHAnsi"/>
                <w:b/>
                <w:bCs/>
                <w:color w:val="FF0000"/>
                <w:sz w:val="22"/>
                <w:szCs w:val="22"/>
                <w:u w:val="single"/>
              </w:rPr>
              <w:t>JUVENILE TRIGGER</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FOP Spring Spill</w:t>
            </w:r>
          </w:p>
        </w:tc>
        <w:tc>
          <w:tcPr>
            <w:tcW w:w="7455" w:type="dxa"/>
            <w:tcBorders>
              <w:top w:val="nil"/>
              <w:left w:val="single" w:sz="12" w:space="0" w:color="auto"/>
              <w:bottom w:val="nil"/>
              <w:right w:val="single" w:sz="12" w:space="0" w:color="auto"/>
            </w:tcBorders>
            <w:shd w:val="clear" w:color="auto" w:fill="auto"/>
            <w:noWrap/>
            <w:vAlign w:val="center"/>
            <w:hideMark/>
          </w:tcPr>
          <w:p w:rsidR="00D36A40" w:rsidRPr="005C796D" w:rsidRDefault="00D36A40"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FOP Spring Spill, PH2 Mid-Range, PH1 BOP</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D36A40"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increase s</w:t>
            </w:r>
            <w:r w:rsidRPr="005C796D">
              <w:rPr>
                <w:rFonts w:asciiTheme="minorHAnsi" w:hAnsiTheme="minorHAnsi" w:cstheme="minorHAnsi"/>
                <w:color w:val="FF0000"/>
                <w:sz w:val="22"/>
                <w:szCs w:val="22"/>
              </w:rPr>
              <w:t>pill &gt; FOP up to 150 kcfs</w:t>
            </w:r>
            <w:r w:rsidR="00080329">
              <w:rPr>
                <w:rFonts w:asciiTheme="minorHAnsi" w:hAnsiTheme="minorHAnsi" w:cstheme="minorHAnsi"/>
                <w:color w:val="FF0000"/>
                <w:sz w:val="22"/>
                <w:szCs w:val="22"/>
              </w:rPr>
              <w:t xml:space="preserve">. </w:t>
            </w:r>
            <w:r w:rsidR="00080329" w:rsidRPr="00080329">
              <w:rPr>
                <w:rFonts w:asciiTheme="minorHAnsi" w:hAnsiTheme="minorHAnsi" w:cstheme="minorHAnsi"/>
                <w:i/>
                <w:color w:val="FF0000"/>
                <w:sz w:val="22"/>
                <w:szCs w:val="22"/>
              </w:rPr>
              <w:t>This</w:t>
            </w:r>
            <w:r w:rsidR="00080329">
              <w:rPr>
                <w:rFonts w:asciiTheme="minorHAnsi" w:hAnsiTheme="minorHAnsi" w:cstheme="minorHAnsi"/>
                <w:i/>
                <w:color w:val="FF0000"/>
                <w:sz w:val="22"/>
                <w:szCs w:val="22"/>
              </w:rPr>
              <w:t xml:space="preserve"> applies to both Spring Spill operations (Performance Standard 100 kcfs and Gas Cap). DO NOT SHAPE TO ONLY APPLY TO HOURS OF GAS CAP SPILL</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D36A40"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 xml:space="preserve">increase </w:t>
            </w:r>
            <w:r w:rsidRPr="005C796D">
              <w:rPr>
                <w:rFonts w:asciiTheme="minorHAnsi" w:hAnsiTheme="minorHAnsi" w:cstheme="minorHAnsi"/>
                <w:color w:val="FF0000"/>
                <w:sz w:val="22"/>
                <w:szCs w:val="22"/>
              </w:rPr>
              <w:t xml:space="preserve">PH2 &gt; Mid-Range up to 1% Upper Limit (south to north) </w:t>
            </w:r>
            <w:r w:rsidR="00CC4EDA" w:rsidRPr="005C796D">
              <w:rPr>
                <w:rFonts w:asciiTheme="minorHAnsi" w:hAnsiTheme="minorHAnsi" w:cstheme="minorHAnsi"/>
                <w:color w:val="FF0000"/>
                <w:sz w:val="22"/>
                <w:szCs w:val="22"/>
              </w:rPr>
              <w:t xml:space="preserve">and </w:t>
            </w:r>
            <w:r w:rsidRPr="002A5EF8">
              <w:rPr>
                <w:rFonts w:asciiTheme="minorHAnsi" w:hAnsiTheme="minorHAnsi" w:cstheme="minorHAnsi"/>
                <w:i/>
                <w:color w:val="FF0000"/>
                <w:sz w:val="22"/>
                <w:szCs w:val="22"/>
              </w:rPr>
              <w:t>NOTIFY FPOM</w:t>
            </w:r>
            <w:r w:rsidR="002A5EF8">
              <w:rPr>
                <w:rFonts w:asciiTheme="minorHAnsi" w:hAnsiTheme="minorHAnsi" w:cstheme="minorHAnsi"/>
                <w:i/>
                <w:color w:val="FF0000"/>
                <w:sz w:val="22"/>
                <w:szCs w:val="22"/>
              </w:rPr>
              <w:t xml:space="preserve"> as soon as possible</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D36A40"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increase s</w:t>
            </w:r>
            <w:r w:rsidRPr="005C796D">
              <w:rPr>
                <w:rFonts w:asciiTheme="minorHAnsi" w:hAnsiTheme="minorHAnsi" w:cstheme="minorHAnsi"/>
                <w:color w:val="FF0000"/>
                <w:sz w:val="22"/>
                <w:szCs w:val="22"/>
              </w:rPr>
              <w:t>pill &gt; 150 kcfs up to 180 kcfs</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765427" w:rsidP="00C56EA0">
            <w:pPr>
              <w:pStyle w:val="ListParagraph"/>
              <w:numPr>
                <w:ilvl w:val="0"/>
                <w:numId w:val="17"/>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Then, increase s</w:t>
            </w:r>
            <w:r w:rsidR="00D36A40" w:rsidRPr="005C796D">
              <w:rPr>
                <w:rFonts w:asciiTheme="minorHAnsi" w:hAnsiTheme="minorHAnsi" w:cstheme="minorHAnsi"/>
                <w:color w:val="FF0000"/>
                <w:sz w:val="22"/>
                <w:szCs w:val="22"/>
              </w:rPr>
              <w:t>pill &gt; 180 kcfs and resume PH2 Mid-Range</w:t>
            </w:r>
            <w:r w:rsidR="006E69B6" w:rsidRPr="005C796D">
              <w:rPr>
                <w:rFonts w:asciiTheme="minorHAnsi" w:hAnsiTheme="minorHAnsi" w:cstheme="minorHAnsi"/>
                <w:color w:val="FF0000"/>
                <w:sz w:val="22"/>
                <w:szCs w:val="22"/>
              </w:rPr>
              <w:t>.</w:t>
            </w:r>
          </w:p>
        </w:tc>
      </w:tr>
      <w:tr w:rsidR="00765427" w:rsidRPr="00765427" w:rsidTr="00765427">
        <w:trPr>
          <w:trHeight w:val="234"/>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2A5EF8" w:rsidRDefault="00D36A40" w:rsidP="00C56EA0">
            <w:pPr>
              <w:rPr>
                <w:rFonts w:asciiTheme="minorHAnsi" w:hAnsiTheme="minorHAnsi" w:cstheme="minorHAnsi"/>
                <w:color w:val="FF0000"/>
                <w:sz w:val="18"/>
                <w:szCs w:val="18"/>
              </w:rPr>
            </w:pPr>
            <w:r w:rsidRPr="00765427">
              <w:rPr>
                <w:rFonts w:asciiTheme="minorHAnsi" w:hAnsiTheme="minorHAnsi" w:cstheme="minorHAnsi"/>
                <w:color w:val="FF0000"/>
                <w:sz w:val="22"/>
                <w:szCs w:val="22"/>
              </w:rPr>
              <w:t> </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765427" w:rsidRDefault="00D36A40" w:rsidP="00C56EA0">
            <w:pPr>
              <w:rPr>
                <w:rFonts w:asciiTheme="minorHAnsi" w:hAnsiTheme="minorHAnsi" w:cstheme="minorHAnsi"/>
                <w:b/>
                <w:bCs/>
                <w:color w:val="FF0000"/>
                <w:sz w:val="22"/>
                <w:szCs w:val="22"/>
                <w:u w:val="single"/>
              </w:rPr>
            </w:pPr>
            <w:r w:rsidRPr="00765427">
              <w:rPr>
                <w:rFonts w:asciiTheme="minorHAnsi" w:hAnsiTheme="minorHAnsi" w:cstheme="minorHAnsi"/>
                <w:b/>
                <w:bCs/>
                <w:color w:val="FF0000"/>
                <w:sz w:val="22"/>
                <w:szCs w:val="22"/>
                <w:u w:val="single"/>
              </w:rPr>
              <w:t>ADULT TRIGGER</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center"/>
            <w:hideMark/>
          </w:tcPr>
          <w:p w:rsidR="00D36A40" w:rsidRPr="005C796D" w:rsidRDefault="00D36A40"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FOP Spring Spill, PH2 Mid-Range, PH1 BOP</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nil"/>
              <w:right w:val="single" w:sz="12" w:space="0" w:color="auto"/>
            </w:tcBorders>
            <w:shd w:val="clear" w:color="auto" w:fill="auto"/>
            <w:noWrap/>
            <w:vAlign w:val="bottom"/>
            <w:hideMark/>
          </w:tcPr>
          <w:p w:rsidR="00D36A40" w:rsidRPr="005C796D" w:rsidRDefault="00D36A40"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 xml:space="preserve">increase </w:t>
            </w:r>
            <w:r w:rsidRPr="005C796D">
              <w:rPr>
                <w:rFonts w:asciiTheme="minorHAnsi" w:hAnsiTheme="minorHAnsi" w:cstheme="minorHAnsi"/>
                <w:color w:val="FF0000"/>
                <w:sz w:val="22"/>
                <w:szCs w:val="22"/>
              </w:rPr>
              <w:t>PH2 &gt; Mid-Range up to 1% Upper Limit (north to south)</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single" w:sz="4" w:space="0" w:color="auto"/>
              <w:right w:val="single" w:sz="12" w:space="0" w:color="auto"/>
            </w:tcBorders>
            <w:shd w:val="clear" w:color="auto" w:fill="auto"/>
            <w:noWrap/>
            <w:vAlign w:val="bottom"/>
            <w:hideMark/>
          </w:tcPr>
          <w:p w:rsidR="00D36A40" w:rsidRPr="005C796D" w:rsidRDefault="00765427"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Then, increase s</w:t>
            </w:r>
            <w:r w:rsidR="00D36A40" w:rsidRPr="005C796D">
              <w:rPr>
                <w:rFonts w:asciiTheme="minorHAnsi" w:hAnsiTheme="minorHAnsi" w:cstheme="minorHAnsi"/>
                <w:color w:val="FF0000"/>
                <w:sz w:val="22"/>
                <w:szCs w:val="22"/>
              </w:rPr>
              <w:t>pill &gt; FOP</w:t>
            </w:r>
            <w:r w:rsidR="006E69B6" w:rsidRPr="005C796D">
              <w:rPr>
                <w:rFonts w:asciiTheme="minorHAnsi" w:hAnsiTheme="minorHAnsi" w:cstheme="minorHAnsi"/>
                <w:color w:val="FF0000"/>
                <w:sz w:val="22"/>
                <w:szCs w:val="22"/>
              </w:rPr>
              <w:t>.</w:t>
            </w:r>
          </w:p>
        </w:tc>
      </w:tr>
      <w:tr w:rsidR="00765427" w:rsidRPr="00765427" w:rsidTr="00765427">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xml:space="preserve">June 16 </w:t>
            </w:r>
            <w:r w:rsidR="004F4885">
              <w:rPr>
                <w:rFonts w:asciiTheme="minorHAnsi" w:hAnsiTheme="minorHAnsi" w:cstheme="minorHAnsi"/>
                <w:b/>
                <w:bCs/>
                <w:color w:val="FF0000"/>
                <w:sz w:val="22"/>
                <w:szCs w:val="22"/>
              </w:rPr>
              <w:t>–</w:t>
            </w:r>
            <w:r w:rsidRPr="00765427">
              <w:rPr>
                <w:rFonts w:asciiTheme="minorHAnsi" w:hAnsiTheme="minorHAnsi" w:cstheme="minorHAnsi"/>
                <w:b/>
                <w:bCs/>
                <w:color w:val="FF0000"/>
                <w:sz w:val="22"/>
                <w:szCs w:val="22"/>
              </w:rPr>
              <w:t xml:space="preserve"> July 31</w:t>
            </w:r>
          </w:p>
        </w:tc>
        <w:tc>
          <w:tcPr>
            <w:tcW w:w="7455" w:type="dxa"/>
            <w:tcBorders>
              <w:top w:val="single" w:sz="4" w:space="0" w:color="auto"/>
              <w:left w:val="single" w:sz="12" w:space="0" w:color="auto"/>
              <w:bottom w:val="nil"/>
              <w:right w:val="single" w:sz="12" w:space="0" w:color="auto"/>
            </w:tcBorders>
            <w:shd w:val="clear" w:color="auto" w:fill="auto"/>
            <w:noWrap/>
            <w:vAlign w:val="center"/>
            <w:hideMark/>
          </w:tcPr>
          <w:p w:rsidR="00D36A40" w:rsidRPr="005C796D" w:rsidRDefault="00D36A40"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FOP Summer Spill, PH2 Mid-Range, PH1 BOP</w:t>
            </w:r>
            <w:r w:rsidR="006E69B6" w:rsidRPr="005C796D">
              <w:rPr>
                <w:rFonts w:asciiTheme="minorHAnsi" w:hAnsiTheme="minorHAnsi" w:cstheme="minorHAnsi"/>
                <w:color w:val="FF0000"/>
                <w:sz w:val="22"/>
                <w:szCs w:val="22"/>
              </w:rPr>
              <w:t>;</w:t>
            </w:r>
          </w:p>
        </w:tc>
      </w:tr>
      <w:tr w:rsidR="00765427" w:rsidRPr="00765427" w:rsidTr="002A5EF8">
        <w:trPr>
          <w:trHeight w:val="300"/>
          <w:jc w:val="center"/>
        </w:trPr>
        <w:tc>
          <w:tcPr>
            <w:tcW w:w="1875" w:type="dxa"/>
            <w:tcBorders>
              <w:top w:val="nil"/>
              <w:left w:val="single" w:sz="12" w:space="0" w:color="auto"/>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FOP Summer Spill</w:t>
            </w:r>
          </w:p>
        </w:tc>
        <w:tc>
          <w:tcPr>
            <w:tcW w:w="7455" w:type="dxa"/>
            <w:tcBorders>
              <w:top w:val="nil"/>
              <w:left w:val="single" w:sz="12" w:space="0" w:color="auto"/>
              <w:right w:val="single" w:sz="12" w:space="0" w:color="auto"/>
            </w:tcBorders>
            <w:shd w:val="clear" w:color="auto" w:fill="auto"/>
            <w:noWrap/>
            <w:vAlign w:val="bottom"/>
            <w:hideMark/>
          </w:tcPr>
          <w:p w:rsidR="00D36A40" w:rsidRPr="005C796D" w:rsidRDefault="00D36A40"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 xml:space="preserve">increase </w:t>
            </w:r>
            <w:r w:rsidRPr="005C796D">
              <w:rPr>
                <w:rFonts w:asciiTheme="minorHAnsi" w:hAnsiTheme="minorHAnsi" w:cstheme="minorHAnsi"/>
                <w:color w:val="FF0000"/>
                <w:sz w:val="22"/>
                <w:szCs w:val="22"/>
              </w:rPr>
              <w:t>PH2 &gt; Mid-Range up to 1% Upper Limit</w:t>
            </w:r>
            <w:r w:rsidR="006E69B6" w:rsidRPr="005C796D">
              <w:rPr>
                <w:rFonts w:asciiTheme="minorHAnsi" w:hAnsiTheme="minorHAnsi" w:cstheme="minorHAnsi"/>
                <w:color w:val="FF0000"/>
                <w:sz w:val="22"/>
                <w:szCs w:val="22"/>
              </w:rPr>
              <w:t>;</w:t>
            </w:r>
          </w:p>
        </w:tc>
      </w:tr>
      <w:tr w:rsidR="00765427" w:rsidRPr="00765427" w:rsidTr="002A5EF8">
        <w:trPr>
          <w:trHeight w:val="315"/>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rsidR="00D36A40" w:rsidRPr="00765427" w:rsidRDefault="00D36A40" w:rsidP="00C56EA0">
            <w:pPr>
              <w:jc w:val="center"/>
              <w:rPr>
                <w:rFonts w:asciiTheme="minorHAnsi" w:hAnsiTheme="minorHAnsi" w:cstheme="minorHAnsi"/>
                <w:b/>
                <w:bCs/>
                <w:color w:val="FF0000"/>
                <w:sz w:val="22"/>
                <w:szCs w:val="22"/>
              </w:rPr>
            </w:pPr>
            <w:r w:rsidRPr="00765427">
              <w:rPr>
                <w:rFonts w:asciiTheme="minorHAnsi" w:hAnsiTheme="minorHAnsi" w:cstheme="minorHAnsi"/>
                <w:b/>
                <w:bCs/>
                <w:color w:val="FF0000"/>
                <w:sz w:val="22"/>
                <w:szCs w:val="22"/>
              </w:rPr>
              <w:t> </w:t>
            </w:r>
          </w:p>
        </w:tc>
        <w:tc>
          <w:tcPr>
            <w:tcW w:w="7455" w:type="dxa"/>
            <w:tcBorders>
              <w:top w:val="nil"/>
              <w:left w:val="single" w:sz="12" w:space="0" w:color="auto"/>
              <w:bottom w:val="single" w:sz="4" w:space="0" w:color="auto"/>
              <w:right w:val="single" w:sz="12" w:space="0" w:color="auto"/>
            </w:tcBorders>
            <w:shd w:val="clear" w:color="auto" w:fill="auto"/>
            <w:noWrap/>
            <w:vAlign w:val="bottom"/>
            <w:hideMark/>
          </w:tcPr>
          <w:p w:rsidR="00D36A40" w:rsidRPr="005C796D" w:rsidRDefault="00D36A40" w:rsidP="00C56EA0">
            <w:pPr>
              <w:pStyle w:val="ListParagraph"/>
              <w:numPr>
                <w:ilvl w:val="0"/>
                <w:numId w:val="19"/>
              </w:numPr>
              <w:rPr>
                <w:rFonts w:asciiTheme="minorHAnsi" w:hAnsiTheme="minorHAnsi" w:cstheme="minorHAnsi"/>
                <w:color w:val="FF0000"/>
                <w:sz w:val="22"/>
                <w:szCs w:val="22"/>
              </w:rPr>
            </w:pPr>
            <w:r w:rsidRPr="005C796D">
              <w:rPr>
                <w:rFonts w:asciiTheme="minorHAnsi" w:hAnsiTheme="minorHAnsi" w:cstheme="minorHAnsi"/>
                <w:color w:val="FF0000"/>
                <w:sz w:val="22"/>
                <w:szCs w:val="22"/>
              </w:rPr>
              <w:t xml:space="preserve">Then, </w:t>
            </w:r>
            <w:r w:rsidR="00765427" w:rsidRPr="005C796D">
              <w:rPr>
                <w:rFonts w:asciiTheme="minorHAnsi" w:hAnsiTheme="minorHAnsi" w:cstheme="minorHAnsi"/>
                <w:color w:val="FF0000"/>
                <w:sz w:val="22"/>
                <w:szCs w:val="22"/>
              </w:rPr>
              <w:t>increase s</w:t>
            </w:r>
            <w:r w:rsidRPr="005C796D">
              <w:rPr>
                <w:rFonts w:asciiTheme="minorHAnsi" w:hAnsiTheme="minorHAnsi" w:cstheme="minorHAnsi"/>
                <w:color w:val="FF0000"/>
                <w:sz w:val="22"/>
                <w:szCs w:val="22"/>
              </w:rPr>
              <w:t>pill &gt; FOP</w:t>
            </w:r>
            <w:r w:rsidR="006E69B6" w:rsidRPr="005C796D">
              <w:rPr>
                <w:rFonts w:asciiTheme="minorHAnsi" w:hAnsiTheme="minorHAnsi" w:cstheme="minorHAnsi"/>
                <w:color w:val="FF0000"/>
                <w:sz w:val="22"/>
                <w:szCs w:val="22"/>
              </w:rPr>
              <w:t>.</w:t>
            </w:r>
          </w:p>
        </w:tc>
      </w:tr>
      <w:tr w:rsidR="002A5EF8" w:rsidRPr="00765427" w:rsidTr="002A5EF8">
        <w:trPr>
          <w:trHeight w:val="315"/>
          <w:jc w:val="center"/>
        </w:trPr>
        <w:tc>
          <w:tcPr>
            <w:tcW w:w="1875" w:type="dxa"/>
            <w:tcBorders>
              <w:top w:val="single" w:sz="4" w:space="0" w:color="auto"/>
              <w:left w:val="single" w:sz="12" w:space="0" w:color="auto"/>
              <w:bottom w:val="single" w:sz="12" w:space="0" w:color="auto"/>
              <w:right w:val="single" w:sz="12" w:space="0" w:color="auto"/>
            </w:tcBorders>
            <w:shd w:val="clear" w:color="auto" w:fill="auto"/>
            <w:noWrap/>
          </w:tcPr>
          <w:p w:rsidR="002A5EF8" w:rsidRDefault="002A5EF8" w:rsidP="00C56EA0">
            <w:pPr>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August 1</w:t>
            </w:r>
            <w:r w:rsidR="004F4885">
              <w:rPr>
                <w:rFonts w:asciiTheme="minorHAnsi" w:hAnsiTheme="minorHAnsi" w:cstheme="minorHAnsi"/>
                <w:b/>
                <w:bCs/>
                <w:color w:val="FF0000"/>
                <w:sz w:val="22"/>
                <w:szCs w:val="22"/>
              </w:rPr>
              <w:t xml:space="preserve"> </w:t>
            </w:r>
            <w:r w:rsidR="0013619C">
              <w:rPr>
                <w:rFonts w:asciiTheme="minorHAnsi" w:hAnsiTheme="minorHAnsi" w:cstheme="minorHAnsi"/>
                <w:b/>
                <w:bCs/>
                <w:color w:val="FF0000"/>
                <w:sz w:val="22"/>
                <w:szCs w:val="22"/>
              </w:rPr>
              <w:t>–</w:t>
            </w:r>
            <w:r w:rsidR="004F4885">
              <w:rPr>
                <w:rFonts w:asciiTheme="minorHAnsi" w:hAnsiTheme="minorHAnsi" w:cstheme="minorHAnsi"/>
                <w:b/>
                <w:bCs/>
                <w:color w:val="FF0000"/>
                <w:sz w:val="22"/>
                <w:szCs w:val="22"/>
              </w:rPr>
              <w:t xml:space="preserve"> </w:t>
            </w:r>
            <w:r>
              <w:rPr>
                <w:rFonts w:asciiTheme="minorHAnsi" w:hAnsiTheme="minorHAnsi" w:cstheme="minorHAnsi"/>
                <w:b/>
                <w:bCs/>
                <w:color w:val="FF0000"/>
                <w:sz w:val="22"/>
                <w:szCs w:val="22"/>
              </w:rPr>
              <w:t>31</w:t>
            </w:r>
            <w:r w:rsidR="0013619C">
              <w:rPr>
                <w:rFonts w:asciiTheme="minorHAnsi" w:hAnsiTheme="minorHAnsi" w:cstheme="minorHAnsi"/>
                <w:b/>
                <w:bCs/>
                <w:color w:val="FF0000"/>
                <w:sz w:val="22"/>
                <w:szCs w:val="22"/>
              </w:rPr>
              <w:t>*</w:t>
            </w:r>
          </w:p>
          <w:p w:rsidR="002A5EF8" w:rsidRPr="00765427" w:rsidRDefault="002A5EF8" w:rsidP="00C56EA0">
            <w:pPr>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FOP Summer Spill</w:t>
            </w:r>
          </w:p>
        </w:tc>
        <w:tc>
          <w:tcPr>
            <w:tcW w:w="7455"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2A5EF8" w:rsidRDefault="002A5EF8" w:rsidP="00C56EA0">
            <w:pPr>
              <w:pStyle w:val="ListParagraph"/>
              <w:numPr>
                <w:ilvl w:val="0"/>
                <w:numId w:val="19"/>
              </w:numPr>
              <w:rPr>
                <w:rFonts w:asciiTheme="minorHAnsi" w:hAnsiTheme="minorHAnsi" w:cstheme="minorHAnsi"/>
                <w:color w:val="FF0000"/>
                <w:sz w:val="22"/>
                <w:szCs w:val="22"/>
              </w:rPr>
            </w:pPr>
            <w:r>
              <w:rPr>
                <w:rFonts w:asciiTheme="minorHAnsi" w:hAnsiTheme="minorHAnsi" w:cstheme="minorHAnsi"/>
                <w:color w:val="FF0000"/>
                <w:sz w:val="22"/>
                <w:szCs w:val="22"/>
              </w:rPr>
              <w:t xml:space="preserve">FOP Summer Spill, PH2 full 1% (*see footnote), PH1 BOP </w:t>
            </w:r>
          </w:p>
          <w:p w:rsidR="002A5EF8" w:rsidRPr="005C796D" w:rsidRDefault="002A5EF8" w:rsidP="00C56EA0">
            <w:pPr>
              <w:pStyle w:val="ListParagraph"/>
              <w:numPr>
                <w:ilvl w:val="0"/>
                <w:numId w:val="19"/>
              </w:numPr>
              <w:rPr>
                <w:rFonts w:asciiTheme="minorHAnsi" w:hAnsiTheme="minorHAnsi" w:cstheme="minorHAnsi"/>
                <w:color w:val="FF0000"/>
                <w:sz w:val="22"/>
                <w:szCs w:val="22"/>
              </w:rPr>
            </w:pPr>
            <w:r>
              <w:rPr>
                <w:rFonts w:asciiTheme="minorHAnsi" w:hAnsiTheme="minorHAnsi" w:cstheme="minorHAnsi"/>
                <w:color w:val="FF0000"/>
                <w:sz w:val="22"/>
                <w:szCs w:val="22"/>
              </w:rPr>
              <w:t>Then, increase spill &gt; FOP.</w:t>
            </w:r>
          </w:p>
        </w:tc>
      </w:tr>
    </w:tbl>
    <w:p w:rsidR="009A006A" w:rsidRPr="002A5EF8" w:rsidRDefault="002A5EF8" w:rsidP="009A006A">
      <w:pPr>
        <w:pStyle w:val="FPP3"/>
        <w:numPr>
          <w:ilvl w:val="0"/>
          <w:numId w:val="0"/>
        </w:numPr>
        <w:rPr>
          <w:rFonts w:asciiTheme="minorHAnsi" w:hAnsiTheme="minorHAnsi" w:cstheme="minorHAnsi"/>
          <w:color w:val="FF0000"/>
          <w:sz w:val="20"/>
        </w:rPr>
      </w:pPr>
      <w:r>
        <w:rPr>
          <w:rFonts w:asciiTheme="minorHAnsi" w:hAnsiTheme="minorHAnsi" w:cstheme="minorHAnsi"/>
          <w:color w:val="FF0000"/>
          <w:sz w:val="20"/>
        </w:rPr>
        <w:t>*</w:t>
      </w:r>
      <w:r w:rsidR="00EB580D">
        <w:rPr>
          <w:rFonts w:asciiTheme="minorHAnsi" w:hAnsiTheme="minorHAnsi" w:cstheme="minorHAnsi"/>
          <w:color w:val="FF0000"/>
          <w:sz w:val="20"/>
        </w:rPr>
        <w:t xml:space="preserve">Starting August 1, PH2 units may be operated within the full 1% range to provide flexibility during lower flows. </w:t>
      </w:r>
      <w:r w:rsidR="0013619C">
        <w:rPr>
          <w:rFonts w:asciiTheme="minorHAnsi" w:hAnsiTheme="minorHAnsi" w:cstheme="minorHAnsi"/>
          <w:color w:val="FF0000"/>
          <w:sz w:val="20"/>
        </w:rPr>
        <w:t xml:space="preserve">During this time period, </w:t>
      </w:r>
      <w:r w:rsidR="00EB580D">
        <w:rPr>
          <w:rFonts w:asciiTheme="minorHAnsi" w:hAnsiTheme="minorHAnsi" w:cstheme="minorHAnsi"/>
          <w:color w:val="FF0000"/>
          <w:sz w:val="20"/>
        </w:rPr>
        <w:t xml:space="preserve">PH2 units will typically be within the mid-range but may be adjusted </w:t>
      </w:r>
      <w:r w:rsidR="0013619C">
        <w:rPr>
          <w:rFonts w:asciiTheme="minorHAnsi" w:hAnsiTheme="minorHAnsi" w:cstheme="minorHAnsi"/>
          <w:color w:val="FF0000"/>
          <w:sz w:val="20"/>
        </w:rPr>
        <w:t>through</w:t>
      </w:r>
      <w:r w:rsidR="00EB580D">
        <w:rPr>
          <w:rFonts w:asciiTheme="minorHAnsi" w:hAnsiTheme="minorHAnsi" w:cstheme="minorHAnsi"/>
          <w:color w:val="FF0000"/>
          <w:sz w:val="20"/>
        </w:rPr>
        <w:t xml:space="preserve"> the full 1% range as necessary to avoid dead-band issues during lower flows. </w:t>
      </w:r>
      <w:r w:rsidR="0013619C">
        <w:rPr>
          <w:rFonts w:asciiTheme="minorHAnsi" w:hAnsiTheme="minorHAnsi" w:cstheme="minorHAnsi"/>
          <w:color w:val="FF0000"/>
          <w:sz w:val="20"/>
        </w:rPr>
        <w:t>PH2 o</w:t>
      </w:r>
      <w:r w:rsidR="00EB580D">
        <w:rPr>
          <w:rFonts w:asciiTheme="minorHAnsi" w:hAnsiTheme="minorHAnsi" w:cstheme="minorHAnsi"/>
          <w:color w:val="FF0000"/>
          <w:sz w:val="20"/>
        </w:rPr>
        <w:t xml:space="preserve">perations above the mid-range will be infrequent, consistent with previous years. </w:t>
      </w:r>
    </w:p>
    <w:p w:rsidR="00765427" w:rsidRDefault="00765427" w:rsidP="00EB580D">
      <w:pPr>
        <w:pStyle w:val="FPP3"/>
        <w:numPr>
          <w:ilvl w:val="0"/>
          <w:numId w:val="0"/>
        </w:numPr>
        <w:pBdr>
          <w:top w:val="single" w:sz="12" w:space="1" w:color="auto"/>
        </w:pBdr>
        <w:rPr>
          <w:rFonts w:ascii="Times New Roman Bold" w:hAnsi="Times New Roman Bold"/>
          <w:b/>
          <w:caps/>
          <w:u w:val="single"/>
        </w:rPr>
      </w:pPr>
    </w:p>
    <w:p w:rsidR="00D9640C" w:rsidRDefault="00D9640C" w:rsidP="0013619C">
      <w:pPr>
        <w:keepNext/>
        <w:spacing w:after="240"/>
      </w:pPr>
      <w:r w:rsidRPr="00923CDF">
        <w:rPr>
          <w:rFonts w:ascii="Times New Roman Bold" w:hAnsi="Times New Roman Bold"/>
          <w:b/>
          <w:caps/>
          <w:u w:val="single"/>
        </w:rPr>
        <w:t>Comments</w:t>
      </w:r>
      <w:r w:rsidRPr="009C6814">
        <w:t>:</w:t>
      </w:r>
    </w:p>
    <w:p w:rsidR="00944D66" w:rsidRDefault="00D9640C" w:rsidP="00337EA9">
      <w:pPr>
        <w:spacing w:after="240"/>
        <w:ind w:firstLine="720"/>
      </w:pPr>
      <w:r w:rsidRPr="00F957A3">
        <w:rPr>
          <w:u w:val="single"/>
        </w:rPr>
        <w:t>1/23/2020 FPOM FPP Meeting</w:t>
      </w:r>
      <w:r>
        <w:t xml:space="preserve">: </w:t>
      </w:r>
    </w:p>
    <w:p w:rsidR="00D9640C" w:rsidRDefault="00D9640C" w:rsidP="00944D66">
      <w:pPr>
        <w:spacing w:after="240"/>
      </w:pPr>
      <w:r>
        <w:t xml:space="preserve">Lorz and Conder understand the need to protect the spillway but are concerned with impacts to juveniles by operating PH2 above the mid-range. They want to go back to PH2 mid-range at higher flows when spill is already well above 150 kcfs and asked that FPOM be notified if PH2 units go above the mid-range for spill management. </w:t>
      </w:r>
      <w:proofErr w:type="spellStart"/>
      <w:r>
        <w:t>Bellerud</w:t>
      </w:r>
      <w:proofErr w:type="spellEnd"/>
      <w:r>
        <w:t xml:space="preserve"> and Morrill concurred. </w:t>
      </w:r>
    </w:p>
    <w:p w:rsidR="00D9640C" w:rsidRDefault="00D9640C" w:rsidP="00D9640C">
      <w:pPr>
        <w:spacing w:after="240"/>
      </w:pPr>
      <w:r>
        <w:t xml:space="preserve">Van Dyke questioned the 150 kcfs limit for erosion and was concerned this was a power benefit by reducing fish protection measures. Lorz and others responded that the 150 kcfs limit was established after ERDC modeling and has been regionally agreed to in the Flex Spill Agreement. Bettin added that the intent is to protect the spillway. Loads are typically light during high flows and they might need to find load so it’s not a power benefit. </w:t>
      </w:r>
    </w:p>
    <w:p w:rsidR="00D9640C" w:rsidRDefault="00D9640C" w:rsidP="00D9640C">
      <w:pPr>
        <w:spacing w:after="240"/>
      </w:pPr>
      <w:r>
        <w:t xml:space="preserve">Assuming all 8 units are available, there would be 24 kcfs that could be pushed through PH2 instead of the spillway. After extensive discussion, additional criteria were defined to go back to the PH2 mid-range if involuntary spill increases above 180 kcfs, as well as adding FPOM notification as soon as possible and no later than 3 business days. </w:t>
      </w:r>
    </w:p>
    <w:p w:rsidR="00D9640C" w:rsidRDefault="00D9640C" w:rsidP="00D9640C">
      <w:pPr>
        <w:spacing w:after="240"/>
      </w:pPr>
      <w:r>
        <w:t xml:space="preserve">There are still concerns with timing and impacts to Spring Creek releases, as well as how it would play out with the 16 hours of gas cap spill and 8 hours of performance standard 100 kcfs. FPOM needed more time to consider the complexities of the operation and try to come up with something that is implementable. </w:t>
      </w:r>
    </w:p>
    <w:p w:rsidR="00765427" w:rsidRDefault="00765427" w:rsidP="00337EA9">
      <w:pPr>
        <w:spacing w:after="240"/>
        <w:ind w:firstLine="720"/>
        <w:rPr>
          <w:u w:val="single"/>
        </w:rPr>
      </w:pPr>
    </w:p>
    <w:p w:rsidR="00944D66" w:rsidRDefault="00D9640C" w:rsidP="00337EA9">
      <w:pPr>
        <w:spacing w:after="240"/>
        <w:ind w:firstLine="720"/>
      </w:pPr>
      <w:r>
        <w:rPr>
          <w:u w:val="single"/>
        </w:rPr>
        <w:t>2/13</w:t>
      </w:r>
      <w:r w:rsidRPr="00F957A3">
        <w:rPr>
          <w:u w:val="single"/>
        </w:rPr>
        <w:t>/2020 FPOM FPP Meeting</w:t>
      </w:r>
      <w:r>
        <w:t xml:space="preserve">: </w:t>
      </w:r>
    </w:p>
    <w:p w:rsidR="00D9640C" w:rsidRDefault="00D9640C" w:rsidP="00944D66">
      <w:pPr>
        <w:spacing w:after="240"/>
      </w:pPr>
      <w:bookmarkStart w:id="6" w:name="_GoBack"/>
      <w:bookmarkEnd w:id="6"/>
      <w:r>
        <w:t xml:space="preserve">Laurie Ebner reported on the condition of the spillway and the critical importance of the 150 kcfs spill limit. FPOM worked on the language to </w:t>
      </w:r>
      <w:r w:rsidR="0046589E">
        <w:t>clearly spell out</w:t>
      </w:r>
      <w:r>
        <w:t xml:space="preserve"> that operating above the PH2 mid-range is only intended for implementation during involuntary spill above 150 kcfs</w:t>
      </w:r>
      <w:r w:rsidR="00337EA9">
        <w:t>, up to a maximum of 180 kcfs,</w:t>
      </w:r>
      <w:r>
        <w:t xml:space="preserve"> and isn’t to be used to shape flow around the </w:t>
      </w:r>
      <w:r w:rsidR="00337EA9">
        <w:t>flex spill o</w:t>
      </w:r>
      <w:r>
        <w:t xml:space="preserve">peration. </w:t>
      </w:r>
    </w:p>
    <w:p w:rsidR="00D9640C" w:rsidRDefault="00D9640C" w:rsidP="00D9640C">
      <w:pPr>
        <w:spacing w:before="240" w:after="240"/>
        <w:rPr>
          <w:rFonts w:ascii="Times New Roman Bold" w:hAnsi="Times New Roman Bold"/>
          <w:b/>
          <w:caps/>
          <w:u w:val="single"/>
        </w:rPr>
      </w:pPr>
    </w:p>
    <w:p w:rsidR="00D9640C" w:rsidRDefault="00D9640C" w:rsidP="00D9640C">
      <w:pPr>
        <w:spacing w:before="360" w:after="240"/>
      </w:pPr>
      <w:r w:rsidRPr="00923CDF">
        <w:rPr>
          <w:rFonts w:ascii="Times New Roman Bold" w:hAnsi="Times New Roman Bold"/>
          <w:b/>
          <w:caps/>
          <w:u w:val="single"/>
        </w:rPr>
        <w:t>Record of Final Action</w:t>
      </w:r>
      <w:r w:rsidRPr="009C6814">
        <w:t>:</w:t>
      </w:r>
      <w:r>
        <w:t xml:space="preserve">  Approved as edited at the FPOM meeting on 13-FEB-2020.</w:t>
      </w:r>
    </w:p>
    <w:p w:rsidR="005132D3" w:rsidRPr="00D1531C" w:rsidRDefault="005132D3" w:rsidP="005132D3">
      <w:pPr>
        <w:pStyle w:val="FPP3"/>
        <w:numPr>
          <w:ilvl w:val="0"/>
          <w:numId w:val="0"/>
        </w:numPr>
        <w:rPr>
          <w:rFonts w:ascii="Times New Roman Bold" w:hAnsi="Times New Roman Bold"/>
          <w:b/>
          <w:caps/>
          <w:u w:val="single"/>
        </w:rPr>
      </w:pPr>
    </w:p>
    <w:sectPr w:rsidR="005132D3" w:rsidRPr="00D1531C" w:rsidSect="001C7F91">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19" w:rsidRDefault="00454C19" w:rsidP="0007427B">
      <w:r>
        <w:separator/>
      </w:r>
    </w:p>
  </w:endnote>
  <w:endnote w:type="continuationSeparator" w:id="0">
    <w:p w:rsidR="00454C19" w:rsidRDefault="00454C1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3760DF"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w:t>
    </w:r>
    <w:r w:rsidR="00B147ED">
      <w:rPr>
        <w:rFonts w:asciiTheme="minorHAnsi" w:hAnsiTheme="minorHAnsi" w:cstheme="minorHAnsi"/>
        <w:b/>
        <w:sz w:val="20"/>
        <w:szCs w:val="20"/>
      </w:rPr>
      <w:t>BON00</w:t>
    </w:r>
    <w:r w:rsidR="007246B0">
      <w:rPr>
        <w:rFonts w:asciiTheme="minorHAnsi" w:hAnsiTheme="minorHAnsi" w:cstheme="minorHAnsi"/>
        <w:b/>
        <w:sz w:val="20"/>
        <w:szCs w:val="20"/>
      </w:rPr>
      <w:t>2</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44D66">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44D66">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19" w:rsidRDefault="00454C19" w:rsidP="0007427B">
      <w:r>
        <w:separator/>
      </w:r>
    </w:p>
  </w:footnote>
  <w:footnote w:type="continuationSeparator" w:id="0">
    <w:p w:rsidR="00454C19" w:rsidRDefault="00454C19" w:rsidP="0007427B">
      <w:r>
        <w:continuationSeparator/>
      </w:r>
    </w:p>
  </w:footnote>
  <w:footnote w:id="1">
    <w:p w:rsidR="009764BA" w:rsidRPr="00941AF3" w:rsidRDefault="009764BA" w:rsidP="00D9640C">
      <w:pPr>
        <w:pStyle w:val="FootnoteText"/>
        <w:spacing w:after="40"/>
      </w:pPr>
      <w:r w:rsidRPr="006675FB">
        <w:rPr>
          <w:rStyle w:val="FootnoteReference"/>
          <w:rFonts w:asciiTheme="minorHAnsi" w:hAnsiTheme="minorHAnsi" w:cstheme="minorHAnsi"/>
        </w:rPr>
        <w:footnoteRef/>
      </w:r>
      <w:r w:rsidRPr="006675FB">
        <w:rPr>
          <w:rFonts w:asciiTheme="minorHAnsi" w:hAnsiTheme="minorHAnsi" w:cstheme="minorHAnsi"/>
        </w:rPr>
        <w:t xml:space="preserve"> </w:t>
      </w:r>
      <w:r w:rsidRPr="006675FB">
        <w:rPr>
          <w:rFonts w:asciiTheme="minorHAnsi" w:hAnsiTheme="minorHAnsi" w:cstheme="minorHAnsi"/>
          <w:b/>
        </w:rPr>
        <w:t xml:space="preserve">Juvenile </w:t>
      </w:r>
      <w:r w:rsidR="00D9640C">
        <w:rPr>
          <w:rFonts w:asciiTheme="minorHAnsi" w:hAnsiTheme="minorHAnsi" w:cstheme="minorHAnsi"/>
          <w:b/>
        </w:rPr>
        <w:t>S</w:t>
      </w:r>
      <w:r w:rsidRPr="006675FB">
        <w:rPr>
          <w:rFonts w:asciiTheme="minorHAnsi" w:hAnsiTheme="minorHAnsi" w:cstheme="minorHAnsi"/>
          <w:b/>
        </w:rPr>
        <w:t>pring Chinook</w:t>
      </w:r>
      <w:r w:rsidR="00D9640C">
        <w:rPr>
          <w:rFonts w:asciiTheme="minorHAnsi" w:hAnsiTheme="minorHAnsi" w:cstheme="minorHAnsi"/>
        </w:rPr>
        <w:t>,</w:t>
      </w:r>
      <w:r w:rsidRPr="006675FB">
        <w:rPr>
          <w:rFonts w:asciiTheme="minorHAnsi" w:hAnsiTheme="minorHAnsi" w:cstheme="minorHAnsi"/>
          <w:b/>
        </w:rPr>
        <w:t xml:space="preserve"> </w:t>
      </w:r>
      <w:r w:rsidRPr="006675FB">
        <w:rPr>
          <w:rFonts w:asciiTheme="minorHAnsi" w:hAnsiTheme="minorHAnsi" w:cstheme="minorHAnsi"/>
        </w:rPr>
        <w:t>reported as “</w:t>
      </w:r>
      <w:proofErr w:type="spellStart"/>
      <w:r w:rsidRPr="006675FB">
        <w:rPr>
          <w:rFonts w:asciiTheme="minorHAnsi" w:hAnsiTheme="minorHAnsi" w:cstheme="minorHAnsi"/>
          <w:i/>
        </w:rPr>
        <w:t>CollCount</w:t>
      </w:r>
      <w:proofErr w:type="spellEnd"/>
      <w:r w:rsidRPr="006675FB">
        <w:rPr>
          <w:rFonts w:asciiTheme="minorHAnsi" w:hAnsiTheme="minorHAnsi" w:cstheme="minorHAnsi"/>
        </w:rPr>
        <w:t xml:space="preserve">” in </w:t>
      </w:r>
      <w:r w:rsidR="00EF5A10">
        <w:rPr>
          <w:rFonts w:asciiTheme="minorHAnsi" w:hAnsiTheme="minorHAnsi" w:cstheme="minorHAnsi"/>
        </w:rPr>
        <w:t xml:space="preserve">the </w:t>
      </w:r>
      <w:proofErr w:type="spellStart"/>
      <w:r w:rsidRPr="006675FB">
        <w:rPr>
          <w:rFonts w:asciiTheme="minorHAnsi" w:hAnsiTheme="minorHAnsi" w:cstheme="minorHAnsi"/>
        </w:rPr>
        <w:t>SMP</w:t>
      </w:r>
      <w:proofErr w:type="spellEnd"/>
      <w:r w:rsidRPr="006675FB">
        <w:rPr>
          <w:rFonts w:asciiTheme="minorHAnsi" w:hAnsiTheme="minorHAnsi" w:cstheme="minorHAnsi"/>
        </w:rPr>
        <w:t xml:space="preserve"> Smolt Data</w:t>
      </w:r>
      <w:r w:rsidR="00AB68AF">
        <w:rPr>
          <w:rFonts w:asciiTheme="minorHAnsi" w:hAnsiTheme="minorHAnsi" w:cstheme="minorHAnsi"/>
        </w:rPr>
        <w:t>. Q</w:t>
      </w:r>
      <w:r w:rsidRPr="006675FB">
        <w:rPr>
          <w:rFonts w:asciiTheme="minorHAnsi" w:hAnsiTheme="minorHAnsi" w:cstheme="minorHAnsi"/>
        </w:rPr>
        <w:t xml:space="preserve">uery current year, BO2, Combined Chinook Yearling, online at: </w:t>
      </w:r>
      <w:hyperlink r:id="rId1" w:history="1">
        <w:r w:rsidR="00845B0F">
          <w:rPr>
            <w:rStyle w:val="Hyperlink"/>
            <w:rFonts w:asciiTheme="minorHAnsi" w:hAnsiTheme="minorHAnsi" w:cstheme="minorHAnsi"/>
          </w:rPr>
          <w:t>www.fpc.org/smolt/smolt_queries/Q_smolt_dailypassageindex_query.php</w:t>
        </w:r>
      </w:hyperlink>
    </w:p>
  </w:footnote>
  <w:footnote w:id="2">
    <w:p w:rsidR="009764BA" w:rsidRPr="006675FB" w:rsidRDefault="009764BA" w:rsidP="00991952">
      <w:pPr>
        <w:pStyle w:val="FootnoteText"/>
        <w:rPr>
          <w:rFonts w:asciiTheme="minorHAnsi" w:hAnsiTheme="minorHAnsi" w:cstheme="minorHAnsi"/>
        </w:rPr>
      </w:pPr>
      <w:r w:rsidRPr="006675FB">
        <w:rPr>
          <w:rStyle w:val="FootnoteReference"/>
          <w:rFonts w:asciiTheme="minorHAnsi" w:hAnsiTheme="minorHAnsi" w:cstheme="minorHAnsi"/>
        </w:rPr>
        <w:footnoteRef/>
      </w:r>
      <w:r w:rsidRPr="006675FB">
        <w:rPr>
          <w:rFonts w:asciiTheme="minorHAnsi" w:hAnsiTheme="minorHAnsi" w:cstheme="minorHAnsi"/>
        </w:rPr>
        <w:t xml:space="preserve"> </w:t>
      </w:r>
      <w:r w:rsidRPr="006675FB">
        <w:rPr>
          <w:rFonts w:asciiTheme="minorHAnsi" w:hAnsiTheme="minorHAnsi" w:cstheme="minorHAnsi"/>
          <w:b/>
        </w:rPr>
        <w:t xml:space="preserve">Adult </w:t>
      </w:r>
      <w:r w:rsidR="00D9640C">
        <w:rPr>
          <w:rFonts w:asciiTheme="minorHAnsi" w:hAnsiTheme="minorHAnsi" w:cstheme="minorHAnsi"/>
          <w:b/>
        </w:rPr>
        <w:t>S</w:t>
      </w:r>
      <w:r w:rsidRPr="006675FB">
        <w:rPr>
          <w:rFonts w:asciiTheme="minorHAnsi" w:hAnsiTheme="minorHAnsi" w:cstheme="minorHAnsi"/>
          <w:b/>
        </w:rPr>
        <w:t>pring Chinook</w:t>
      </w:r>
      <w:r w:rsidR="00D9640C">
        <w:rPr>
          <w:rFonts w:asciiTheme="minorHAnsi" w:hAnsiTheme="minorHAnsi" w:cstheme="minorHAnsi"/>
        </w:rPr>
        <w:t>,</w:t>
      </w:r>
      <w:r w:rsidRPr="006675FB">
        <w:rPr>
          <w:rFonts w:asciiTheme="minorHAnsi" w:hAnsiTheme="minorHAnsi" w:cstheme="minorHAnsi"/>
          <w:b/>
        </w:rPr>
        <w:t xml:space="preserve"> </w:t>
      </w:r>
      <w:r w:rsidRPr="006675FB">
        <w:rPr>
          <w:rFonts w:asciiTheme="minorHAnsi" w:hAnsiTheme="minorHAnsi" w:cstheme="minorHAnsi"/>
        </w:rPr>
        <w:t>reported as “</w:t>
      </w:r>
      <w:r w:rsidRPr="006675FB">
        <w:rPr>
          <w:rFonts w:asciiTheme="minorHAnsi" w:hAnsiTheme="minorHAnsi" w:cstheme="minorHAnsi"/>
          <w:i/>
        </w:rPr>
        <w:t>Adult Chinook daily</w:t>
      </w:r>
      <w:r w:rsidRPr="006675FB">
        <w:rPr>
          <w:rFonts w:asciiTheme="minorHAnsi" w:hAnsiTheme="minorHAnsi" w:cstheme="minorHAnsi"/>
        </w:rPr>
        <w:t>” in the Corps’ Adult Fish Count Running Sum Report for Bonneville</w:t>
      </w:r>
      <w:r w:rsidR="00EF5A10">
        <w:rPr>
          <w:rFonts w:asciiTheme="minorHAnsi" w:hAnsiTheme="minorHAnsi" w:cstheme="minorHAnsi"/>
        </w:rPr>
        <w:t xml:space="preserve"> Dam</w:t>
      </w:r>
      <w:r w:rsidRPr="006675FB">
        <w:rPr>
          <w:rFonts w:asciiTheme="minorHAnsi" w:hAnsiTheme="minorHAnsi" w:cstheme="minorHAnsi"/>
        </w:rPr>
        <w:t xml:space="preserve">, online at: </w:t>
      </w:r>
      <w:hyperlink r:id="rId2" w:history="1">
        <w:r w:rsidR="00845B0F">
          <w:rPr>
            <w:rStyle w:val="Hyperlink"/>
            <w:rFonts w:asciiTheme="minorHAnsi" w:hAnsiTheme="minorHAnsi" w:cstheme="minorHAnsi"/>
          </w:rPr>
          <w:t>www.fpc.org/environment/home.asp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B229E3"/>
    <w:multiLevelType w:val="hybridMultilevel"/>
    <w:tmpl w:val="905C9BCC"/>
    <w:lvl w:ilvl="0" w:tplc="9702989E">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0656"/>
    <w:multiLevelType w:val="hybridMultilevel"/>
    <w:tmpl w:val="6744F974"/>
    <w:lvl w:ilvl="0" w:tplc="4D74D0E4">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31536947"/>
    <w:multiLevelType w:val="hybridMultilevel"/>
    <w:tmpl w:val="B6B02500"/>
    <w:lvl w:ilvl="0" w:tplc="3A3C920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7" w15:restartNumberingAfterBreak="0">
    <w:nsid w:val="456459F9"/>
    <w:multiLevelType w:val="hybridMultilevel"/>
    <w:tmpl w:val="E3CE146A"/>
    <w:lvl w:ilvl="0" w:tplc="4D74D0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F646ECE"/>
    <w:multiLevelType w:val="multilevel"/>
    <w:tmpl w:val="9ED851CA"/>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Letter"/>
      <w:suff w:val="space"/>
      <w:lvlText w:val="%7."/>
      <w:lvlJc w:val="left"/>
      <w:pPr>
        <w:ind w:left="72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C21E7"/>
    <w:multiLevelType w:val="hybridMultilevel"/>
    <w:tmpl w:val="B7408F8E"/>
    <w:lvl w:ilvl="0" w:tplc="895863D0">
      <w:start w:val="1"/>
      <w:numFmt w:val="lowerLetter"/>
      <w:lvlText w:val="%1."/>
      <w:lvlJc w:val="left"/>
      <w:pPr>
        <w:ind w:left="1080" w:hanging="360"/>
      </w:pPr>
      <w:rPr>
        <w:rFonts w:hint="default"/>
        <w:b/>
      </w:rPr>
    </w:lvl>
    <w:lvl w:ilvl="1" w:tplc="D5165F26">
      <w:start w:val="1"/>
      <w:numFmt w:val="lowerRoman"/>
      <w:lvlText w:val="%2."/>
      <w:lvlJc w:val="right"/>
      <w:pPr>
        <w:ind w:left="1800" w:hanging="360"/>
      </w:pPr>
      <w:rPr>
        <w:b/>
      </w:rPr>
    </w:lvl>
    <w:lvl w:ilvl="2" w:tplc="C310BE44">
      <w:start w:val="1"/>
      <w:numFmt w:val="bullet"/>
      <w:lvlText w:val=""/>
      <w:lvlJc w:val="left"/>
      <w:pPr>
        <w:ind w:left="2520" w:hanging="360"/>
      </w:pPr>
      <w:rPr>
        <w:rFonts w:ascii="Wingdings" w:hAnsi="Wingdings" w:hint="default"/>
      </w:rPr>
    </w:lvl>
    <w:lvl w:ilvl="3" w:tplc="65221E44">
      <w:start w:val="1"/>
      <w:numFmt w:val="decimal"/>
      <w:lvlText w:val="%4."/>
      <w:lvlJc w:val="left"/>
      <w:pPr>
        <w:ind w:left="252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C729D2"/>
    <w:multiLevelType w:val="hybridMultilevel"/>
    <w:tmpl w:val="C7022DAC"/>
    <w:lvl w:ilvl="0" w:tplc="9702989E">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8"/>
  </w:num>
  <w:num w:numId="5">
    <w:abstractNumId w:val="9"/>
  </w:num>
  <w:num w:numId="6">
    <w:abstractNumId w:val="16"/>
  </w:num>
  <w:num w:numId="7">
    <w:abstractNumId w:val="9"/>
    <w:lvlOverride w:ilvl="0">
      <w:startOverride w:val="4"/>
    </w:lvlOverride>
  </w:num>
  <w:num w:numId="8">
    <w:abstractNumId w:val="1"/>
  </w:num>
  <w:num w:numId="9">
    <w:abstractNumId w:val="0"/>
  </w:num>
  <w:num w:numId="10">
    <w:abstractNumId w:val="13"/>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14"/>
  </w:num>
  <w:num w:numId="14">
    <w:abstractNumId w:val="3"/>
  </w:num>
  <w:num w:numId="15">
    <w:abstractNumId w:val="7"/>
  </w:num>
  <w:num w:numId="16">
    <w:abstractNumId w:val="12"/>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2B6D"/>
    <w:rsid w:val="00006003"/>
    <w:rsid w:val="00006289"/>
    <w:rsid w:val="00010468"/>
    <w:rsid w:val="00012EDE"/>
    <w:rsid w:val="000175C5"/>
    <w:rsid w:val="00020375"/>
    <w:rsid w:val="00021675"/>
    <w:rsid w:val="000244A2"/>
    <w:rsid w:val="000252BC"/>
    <w:rsid w:val="00027D2D"/>
    <w:rsid w:val="000304B7"/>
    <w:rsid w:val="00031408"/>
    <w:rsid w:val="00033776"/>
    <w:rsid w:val="000431B3"/>
    <w:rsid w:val="000433BD"/>
    <w:rsid w:val="00046957"/>
    <w:rsid w:val="000475E7"/>
    <w:rsid w:val="00051DEE"/>
    <w:rsid w:val="000535D4"/>
    <w:rsid w:val="00053EB3"/>
    <w:rsid w:val="00054163"/>
    <w:rsid w:val="000556E5"/>
    <w:rsid w:val="00056572"/>
    <w:rsid w:val="00056C9A"/>
    <w:rsid w:val="000624A3"/>
    <w:rsid w:val="0006451C"/>
    <w:rsid w:val="00067482"/>
    <w:rsid w:val="00071838"/>
    <w:rsid w:val="00072271"/>
    <w:rsid w:val="00072713"/>
    <w:rsid w:val="000733EB"/>
    <w:rsid w:val="0007427B"/>
    <w:rsid w:val="00076B5B"/>
    <w:rsid w:val="00077A91"/>
    <w:rsid w:val="00080329"/>
    <w:rsid w:val="000806F4"/>
    <w:rsid w:val="00082FCC"/>
    <w:rsid w:val="000858E4"/>
    <w:rsid w:val="0009057A"/>
    <w:rsid w:val="00091EB0"/>
    <w:rsid w:val="00092AA9"/>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65FF"/>
    <w:rsid w:val="000F7189"/>
    <w:rsid w:val="00103038"/>
    <w:rsid w:val="00104B30"/>
    <w:rsid w:val="00105722"/>
    <w:rsid w:val="00106D7D"/>
    <w:rsid w:val="00107A28"/>
    <w:rsid w:val="00107FE5"/>
    <w:rsid w:val="001104FE"/>
    <w:rsid w:val="001120B1"/>
    <w:rsid w:val="0011260E"/>
    <w:rsid w:val="001152BE"/>
    <w:rsid w:val="0011588E"/>
    <w:rsid w:val="00117D59"/>
    <w:rsid w:val="00121888"/>
    <w:rsid w:val="0012672C"/>
    <w:rsid w:val="00130D76"/>
    <w:rsid w:val="00133171"/>
    <w:rsid w:val="00135BCD"/>
    <w:rsid w:val="0013619C"/>
    <w:rsid w:val="001370D4"/>
    <w:rsid w:val="001422D2"/>
    <w:rsid w:val="00143C83"/>
    <w:rsid w:val="0014503F"/>
    <w:rsid w:val="00145876"/>
    <w:rsid w:val="001528DF"/>
    <w:rsid w:val="001603FC"/>
    <w:rsid w:val="00163E7B"/>
    <w:rsid w:val="00164E50"/>
    <w:rsid w:val="0016566C"/>
    <w:rsid w:val="001727CE"/>
    <w:rsid w:val="00174292"/>
    <w:rsid w:val="001759F3"/>
    <w:rsid w:val="00176139"/>
    <w:rsid w:val="00183760"/>
    <w:rsid w:val="00183C67"/>
    <w:rsid w:val="00183F4E"/>
    <w:rsid w:val="00186BE6"/>
    <w:rsid w:val="001908B7"/>
    <w:rsid w:val="001927D5"/>
    <w:rsid w:val="00192D8F"/>
    <w:rsid w:val="0019567E"/>
    <w:rsid w:val="00196E51"/>
    <w:rsid w:val="001A089C"/>
    <w:rsid w:val="001A1A1D"/>
    <w:rsid w:val="001A25A2"/>
    <w:rsid w:val="001A28AB"/>
    <w:rsid w:val="001A49E2"/>
    <w:rsid w:val="001B0FE1"/>
    <w:rsid w:val="001B4072"/>
    <w:rsid w:val="001B7268"/>
    <w:rsid w:val="001B72C0"/>
    <w:rsid w:val="001B7DA4"/>
    <w:rsid w:val="001C105A"/>
    <w:rsid w:val="001C19DE"/>
    <w:rsid w:val="001C1C51"/>
    <w:rsid w:val="001C48D5"/>
    <w:rsid w:val="001C609D"/>
    <w:rsid w:val="001C7500"/>
    <w:rsid w:val="001C7F91"/>
    <w:rsid w:val="001D3625"/>
    <w:rsid w:val="001D3A46"/>
    <w:rsid w:val="001D538C"/>
    <w:rsid w:val="001E4AE4"/>
    <w:rsid w:val="001E51D9"/>
    <w:rsid w:val="001F0764"/>
    <w:rsid w:val="001F1212"/>
    <w:rsid w:val="001F16CD"/>
    <w:rsid w:val="001F1A6E"/>
    <w:rsid w:val="001F275E"/>
    <w:rsid w:val="00201366"/>
    <w:rsid w:val="00202153"/>
    <w:rsid w:val="002040FA"/>
    <w:rsid w:val="002043FB"/>
    <w:rsid w:val="00204578"/>
    <w:rsid w:val="0020520B"/>
    <w:rsid w:val="002052B2"/>
    <w:rsid w:val="00207AF0"/>
    <w:rsid w:val="00210FFA"/>
    <w:rsid w:val="00212386"/>
    <w:rsid w:val="00212773"/>
    <w:rsid w:val="002134B9"/>
    <w:rsid w:val="00220480"/>
    <w:rsid w:val="00221DD3"/>
    <w:rsid w:val="00222DC2"/>
    <w:rsid w:val="002253AC"/>
    <w:rsid w:val="00225691"/>
    <w:rsid w:val="00227C60"/>
    <w:rsid w:val="002309E3"/>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1989"/>
    <w:rsid w:val="00291ECD"/>
    <w:rsid w:val="002A1B24"/>
    <w:rsid w:val="002A2DA6"/>
    <w:rsid w:val="002A300C"/>
    <w:rsid w:val="002A3801"/>
    <w:rsid w:val="002A5EF8"/>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175"/>
    <w:rsid w:val="002F0B5D"/>
    <w:rsid w:val="002F2C19"/>
    <w:rsid w:val="0030372B"/>
    <w:rsid w:val="0030531E"/>
    <w:rsid w:val="003073E7"/>
    <w:rsid w:val="003075C7"/>
    <w:rsid w:val="003076D9"/>
    <w:rsid w:val="00310746"/>
    <w:rsid w:val="00310FAB"/>
    <w:rsid w:val="00314D50"/>
    <w:rsid w:val="00316542"/>
    <w:rsid w:val="0032016D"/>
    <w:rsid w:val="00321DE5"/>
    <w:rsid w:val="0032395B"/>
    <w:rsid w:val="00332AD5"/>
    <w:rsid w:val="00333E13"/>
    <w:rsid w:val="00336B6D"/>
    <w:rsid w:val="003378C8"/>
    <w:rsid w:val="00337EA9"/>
    <w:rsid w:val="00340594"/>
    <w:rsid w:val="003466C2"/>
    <w:rsid w:val="003503D7"/>
    <w:rsid w:val="003505AC"/>
    <w:rsid w:val="00351682"/>
    <w:rsid w:val="00355DC5"/>
    <w:rsid w:val="00356E7C"/>
    <w:rsid w:val="00367AF9"/>
    <w:rsid w:val="00367CEA"/>
    <w:rsid w:val="003718ED"/>
    <w:rsid w:val="00375414"/>
    <w:rsid w:val="003760DF"/>
    <w:rsid w:val="003766D0"/>
    <w:rsid w:val="00387846"/>
    <w:rsid w:val="00387AE2"/>
    <w:rsid w:val="0039112B"/>
    <w:rsid w:val="00391280"/>
    <w:rsid w:val="00391526"/>
    <w:rsid w:val="00391F4C"/>
    <w:rsid w:val="003938B4"/>
    <w:rsid w:val="00396C38"/>
    <w:rsid w:val="003A1404"/>
    <w:rsid w:val="003A3791"/>
    <w:rsid w:val="003A3B60"/>
    <w:rsid w:val="003A3F12"/>
    <w:rsid w:val="003A44E8"/>
    <w:rsid w:val="003A4C0C"/>
    <w:rsid w:val="003A4D44"/>
    <w:rsid w:val="003B2EAE"/>
    <w:rsid w:val="003B4E18"/>
    <w:rsid w:val="003C0BD3"/>
    <w:rsid w:val="003C1FCF"/>
    <w:rsid w:val="003D16B4"/>
    <w:rsid w:val="003D2C9D"/>
    <w:rsid w:val="003D72A5"/>
    <w:rsid w:val="003E16B8"/>
    <w:rsid w:val="003E3497"/>
    <w:rsid w:val="003E4D57"/>
    <w:rsid w:val="003F0E7B"/>
    <w:rsid w:val="003F2170"/>
    <w:rsid w:val="003F47E8"/>
    <w:rsid w:val="003F7E6A"/>
    <w:rsid w:val="00400AFC"/>
    <w:rsid w:val="004013B9"/>
    <w:rsid w:val="0040752E"/>
    <w:rsid w:val="0041224F"/>
    <w:rsid w:val="0041280B"/>
    <w:rsid w:val="004213E5"/>
    <w:rsid w:val="00421AAF"/>
    <w:rsid w:val="00432FA4"/>
    <w:rsid w:val="00433DDE"/>
    <w:rsid w:val="004344E1"/>
    <w:rsid w:val="00434A77"/>
    <w:rsid w:val="004375B0"/>
    <w:rsid w:val="004404FE"/>
    <w:rsid w:val="0044345B"/>
    <w:rsid w:val="00443F9D"/>
    <w:rsid w:val="00446FCF"/>
    <w:rsid w:val="004533CC"/>
    <w:rsid w:val="00454C19"/>
    <w:rsid w:val="0045600B"/>
    <w:rsid w:val="00461F0D"/>
    <w:rsid w:val="00463250"/>
    <w:rsid w:val="00463760"/>
    <w:rsid w:val="0046589E"/>
    <w:rsid w:val="00474807"/>
    <w:rsid w:val="00474D8D"/>
    <w:rsid w:val="00481BD9"/>
    <w:rsid w:val="00482AF7"/>
    <w:rsid w:val="00484E3B"/>
    <w:rsid w:val="00485F61"/>
    <w:rsid w:val="004906B3"/>
    <w:rsid w:val="00490A93"/>
    <w:rsid w:val="00497186"/>
    <w:rsid w:val="00497515"/>
    <w:rsid w:val="004A2620"/>
    <w:rsid w:val="004B2041"/>
    <w:rsid w:val="004B622D"/>
    <w:rsid w:val="004B7725"/>
    <w:rsid w:val="004B7B9B"/>
    <w:rsid w:val="004B7FC0"/>
    <w:rsid w:val="004B7FDD"/>
    <w:rsid w:val="004C0F4D"/>
    <w:rsid w:val="004C7045"/>
    <w:rsid w:val="004C7147"/>
    <w:rsid w:val="004C7848"/>
    <w:rsid w:val="004D0F9D"/>
    <w:rsid w:val="004D1821"/>
    <w:rsid w:val="004D3B59"/>
    <w:rsid w:val="004D4CC4"/>
    <w:rsid w:val="004D6BCF"/>
    <w:rsid w:val="004E4F58"/>
    <w:rsid w:val="004E59E3"/>
    <w:rsid w:val="004E6F6E"/>
    <w:rsid w:val="004E79C5"/>
    <w:rsid w:val="004F110C"/>
    <w:rsid w:val="004F4885"/>
    <w:rsid w:val="004F4C73"/>
    <w:rsid w:val="0050129F"/>
    <w:rsid w:val="00506B28"/>
    <w:rsid w:val="005119D3"/>
    <w:rsid w:val="0051212F"/>
    <w:rsid w:val="005132D3"/>
    <w:rsid w:val="005153EE"/>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360BD"/>
    <w:rsid w:val="00543210"/>
    <w:rsid w:val="0054498A"/>
    <w:rsid w:val="00544D7B"/>
    <w:rsid w:val="0055356D"/>
    <w:rsid w:val="005544FF"/>
    <w:rsid w:val="00555D74"/>
    <w:rsid w:val="0055630A"/>
    <w:rsid w:val="00557AE9"/>
    <w:rsid w:val="00557D4D"/>
    <w:rsid w:val="00564409"/>
    <w:rsid w:val="00566A87"/>
    <w:rsid w:val="005673E6"/>
    <w:rsid w:val="005709BF"/>
    <w:rsid w:val="005729E0"/>
    <w:rsid w:val="0057380D"/>
    <w:rsid w:val="00575333"/>
    <w:rsid w:val="0057672A"/>
    <w:rsid w:val="00580FCA"/>
    <w:rsid w:val="00581FEC"/>
    <w:rsid w:val="00590BBB"/>
    <w:rsid w:val="00590CB7"/>
    <w:rsid w:val="005943A1"/>
    <w:rsid w:val="0059634F"/>
    <w:rsid w:val="00596583"/>
    <w:rsid w:val="0059714C"/>
    <w:rsid w:val="005975EF"/>
    <w:rsid w:val="00597AC8"/>
    <w:rsid w:val="005A269B"/>
    <w:rsid w:val="005A2BBD"/>
    <w:rsid w:val="005A4887"/>
    <w:rsid w:val="005C10F6"/>
    <w:rsid w:val="005C1BF5"/>
    <w:rsid w:val="005C3A9F"/>
    <w:rsid w:val="005C469F"/>
    <w:rsid w:val="005C796D"/>
    <w:rsid w:val="005D05C8"/>
    <w:rsid w:val="005D27A3"/>
    <w:rsid w:val="005E1CBD"/>
    <w:rsid w:val="005E3722"/>
    <w:rsid w:val="005F06B7"/>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0FF1"/>
    <w:rsid w:val="0065147E"/>
    <w:rsid w:val="00654363"/>
    <w:rsid w:val="00654602"/>
    <w:rsid w:val="00655159"/>
    <w:rsid w:val="006557B2"/>
    <w:rsid w:val="00661050"/>
    <w:rsid w:val="006675FB"/>
    <w:rsid w:val="006708E6"/>
    <w:rsid w:val="00672A0C"/>
    <w:rsid w:val="00673C09"/>
    <w:rsid w:val="00674189"/>
    <w:rsid w:val="0068054A"/>
    <w:rsid w:val="00684EB9"/>
    <w:rsid w:val="0069000D"/>
    <w:rsid w:val="00692B32"/>
    <w:rsid w:val="00694A82"/>
    <w:rsid w:val="006954F5"/>
    <w:rsid w:val="006957D2"/>
    <w:rsid w:val="00697216"/>
    <w:rsid w:val="0069798B"/>
    <w:rsid w:val="006A2240"/>
    <w:rsid w:val="006A7008"/>
    <w:rsid w:val="006B241C"/>
    <w:rsid w:val="006B3842"/>
    <w:rsid w:val="006B480D"/>
    <w:rsid w:val="006B5660"/>
    <w:rsid w:val="006B5713"/>
    <w:rsid w:val="006B6A0F"/>
    <w:rsid w:val="006C733A"/>
    <w:rsid w:val="006D06E6"/>
    <w:rsid w:val="006D0D1F"/>
    <w:rsid w:val="006D0FE4"/>
    <w:rsid w:val="006D26B8"/>
    <w:rsid w:val="006D423D"/>
    <w:rsid w:val="006D685A"/>
    <w:rsid w:val="006D7462"/>
    <w:rsid w:val="006E344A"/>
    <w:rsid w:val="006E5586"/>
    <w:rsid w:val="006E55ED"/>
    <w:rsid w:val="006E69B6"/>
    <w:rsid w:val="006E7B68"/>
    <w:rsid w:val="0070112E"/>
    <w:rsid w:val="00721DA3"/>
    <w:rsid w:val="007246B0"/>
    <w:rsid w:val="0072583F"/>
    <w:rsid w:val="00727B00"/>
    <w:rsid w:val="0073145F"/>
    <w:rsid w:val="007320AC"/>
    <w:rsid w:val="00734852"/>
    <w:rsid w:val="00737236"/>
    <w:rsid w:val="007455C4"/>
    <w:rsid w:val="0074669D"/>
    <w:rsid w:val="00747552"/>
    <w:rsid w:val="007561CE"/>
    <w:rsid w:val="0075659D"/>
    <w:rsid w:val="00756C70"/>
    <w:rsid w:val="007577DD"/>
    <w:rsid w:val="007602FD"/>
    <w:rsid w:val="0076249E"/>
    <w:rsid w:val="00763717"/>
    <w:rsid w:val="00765427"/>
    <w:rsid w:val="00774803"/>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2325"/>
    <w:rsid w:val="00845503"/>
    <w:rsid w:val="00845B0F"/>
    <w:rsid w:val="00850CA3"/>
    <w:rsid w:val="008605D6"/>
    <w:rsid w:val="00862446"/>
    <w:rsid w:val="0087275C"/>
    <w:rsid w:val="00873CFA"/>
    <w:rsid w:val="008755DD"/>
    <w:rsid w:val="00875730"/>
    <w:rsid w:val="00876015"/>
    <w:rsid w:val="008761B9"/>
    <w:rsid w:val="00880785"/>
    <w:rsid w:val="00880E51"/>
    <w:rsid w:val="00880F6D"/>
    <w:rsid w:val="00881E82"/>
    <w:rsid w:val="00884881"/>
    <w:rsid w:val="00885121"/>
    <w:rsid w:val="00886E03"/>
    <w:rsid w:val="008938EB"/>
    <w:rsid w:val="00893999"/>
    <w:rsid w:val="0089402D"/>
    <w:rsid w:val="00895E10"/>
    <w:rsid w:val="0089745A"/>
    <w:rsid w:val="008A0BA4"/>
    <w:rsid w:val="008A2829"/>
    <w:rsid w:val="008A41B4"/>
    <w:rsid w:val="008B031E"/>
    <w:rsid w:val="008B0C48"/>
    <w:rsid w:val="008B1C58"/>
    <w:rsid w:val="008B26E0"/>
    <w:rsid w:val="008C2F79"/>
    <w:rsid w:val="008C3FCF"/>
    <w:rsid w:val="008C637F"/>
    <w:rsid w:val="008D16E9"/>
    <w:rsid w:val="008D25C9"/>
    <w:rsid w:val="008D318B"/>
    <w:rsid w:val="008E2D49"/>
    <w:rsid w:val="008E63DF"/>
    <w:rsid w:val="008F1206"/>
    <w:rsid w:val="008F1C34"/>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66ED"/>
    <w:rsid w:val="009277E6"/>
    <w:rsid w:val="0093172D"/>
    <w:rsid w:val="0093234D"/>
    <w:rsid w:val="00934D7E"/>
    <w:rsid w:val="00935974"/>
    <w:rsid w:val="0093784A"/>
    <w:rsid w:val="00940342"/>
    <w:rsid w:val="00944C68"/>
    <w:rsid w:val="00944D66"/>
    <w:rsid w:val="009526AA"/>
    <w:rsid w:val="00952CAF"/>
    <w:rsid w:val="00956816"/>
    <w:rsid w:val="00957D53"/>
    <w:rsid w:val="00963CD4"/>
    <w:rsid w:val="009725B0"/>
    <w:rsid w:val="009751BF"/>
    <w:rsid w:val="009760FC"/>
    <w:rsid w:val="009764BA"/>
    <w:rsid w:val="009777FE"/>
    <w:rsid w:val="00982C38"/>
    <w:rsid w:val="00984845"/>
    <w:rsid w:val="00986B91"/>
    <w:rsid w:val="009873CE"/>
    <w:rsid w:val="00991952"/>
    <w:rsid w:val="009942E5"/>
    <w:rsid w:val="009946BE"/>
    <w:rsid w:val="00994B04"/>
    <w:rsid w:val="00995033"/>
    <w:rsid w:val="009960AB"/>
    <w:rsid w:val="009A006A"/>
    <w:rsid w:val="009A0E71"/>
    <w:rsid w:val="009A321C"/>
    <w:rsid w:val="009A3D43"/>
    <w:rsid w:val="009B4152"/>
    <w:rsid w:val="009B5466"/>
    <w:rsid w:val="009B67EC"/>
    <w:rsid w:val="009B7084"/>
    <w:rsid w:val="009C563F"/>
    <w:rsid w:val="009C60E7"/>
    <w:rsid w:val="009C6814"/>
    <w:rsid w:val="009D605B"/>
    <w:rsid w:val="009E35D7"/>
    <w:rsid w:val="009F3775"/>
    <w:rsid w:val="009F3DCB"/>
    <w:rsid w:val="009F7BFB"/>
    <w:rsid w:val="00A0010B"/>
    <w:rsid w:val="00A01562"/>
    <w:rsid w:val="00A0207E"/>
    <w:rsid w:val="00A03085"/>
    <w:rsid w:val="00A05837"/>
    <w:rsid w:val="00A1242C"/>
    <w:rsid w:val="00A21DB3"/>
    <w:rsid w:val="00A2574B"/>
    <w:rsid w:val="00A25DF9"/>
    <w:rsid w:val="00A309FD"/>
    <w:rsid w:val="00A34D10"/>
    <w:rsid w:val="00A4066E"/>
    <w:rsid w:val="00A42209"/>
    <w:rsid w:val="00A44999"/>
    <w:rsid w:val="00A46CC5"/>
    <w:rsid w:val="00A5400C"/>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B68AF"/>
    <w:rsid w:val="00AC0953"/>
    <w:rsid w:val="00AC2B9F"/>
    <w:rsid w:val="00AC4468"/>
    <w:rsid w:val="00AD1045"/>
    <w:rsid w:val="00AD166A"/>
    <w:rsid w:val="00AD39F6"/>
    <w:rsid w:val="00AE10E0"/>
    <w:rsid w:val="00AE67B8"/>
    <w:rsid w:val="00AE7C15"/>
    <w:rsid w:val="00AE7F2E"/>
    <w:rsid w:val="00AF177C"/>
    <w:rsid w:val="00B00982"/>
    <w:rsid w:val="00B01CE7"/>
    <w:rsid w:val="00B02026"/>
    <w:rsid w:val="00B02B46"/>
    <w:rsid w:val="00B032B5"/>
    <w:rsid w:val="00B049EF"/>
    <w:rsid w:val="00B05038"/>
    <w:rsid w:val="00B051D0"/>
    <w:rsid w:val="00B06B95"/>
    <w:rsid w:val="00B06E12"/>
    <w:rsid w:val="00B07452"/>
    <w:rsid w:val="00B07F9B"/>
    <w:rsid w:val="00B1230A"/>
    <w:rsid w:val="00B14174"/>
    <w:rsid w:val="00B147ED"/>
    <w:rsid w:val="00B16F7E"/>
    <w:rsid w:val="00B21CD7"/>
    <w:rsid w:val="00B2374D"/>
    <w:rsid w:val="00B23BE5"/>
    <w:rsid w:val="00B26421"/>
    <w:rsid w:val="00B26DD9"/>
    <w:rsid w:val="00B3187E"/>
    <w:rsid w:val="00B3324D"/>
    <w:rsid w:val="00B3352D"/>
    <w:rsid w:val="00B405B8"/>
    <w:rsid w:val="00B44738"/>
    <w:rsid w:val="00B447F6"/>
    <w:rsid w:val="00B4579E"/>
    <w:rsid w:val="00B52A54"/>
    <w:rsid w:val="00B54BF2"/>
    <w:rsid w:val="00B56290"/>
    <w:rsid w:val="00B60978"/>
    <w:rsid w:val="00B627C5"/>
    <w:rsid w:val="00B649BD"/>
    <w:rsid w:val="00B73289"/>
    <w:rsid w:val="00B77828"/>
    <w:rsid w:val="00B8213E"/>
    <w:rsid w:val="00B9011D"/>
    <w:rsid w:val="00B91022"/>
    <w:rsid w:val="00B92BA5"/>
    <w:rsid w:val="00B96310"/>
    <w:rsid w:val="00B97449"/>
    <w:rsid w:val="00BA0D01"/>
    <w:rsid w:val="00BA6739"/>
    <w:rsid w:val="00BB506E"/>
    <w:rsid w:val="00BB69FB"/>
    <w:rsid w:val="00BC1C8F"/>
    <w:rsid w:val="00BC4657"/>
    <w:rsid w:val="00BD1EBA"/>
    <w:rsid w:val="00BD212F"/>
    <w:rsid w:val="00BD2CD1"/>
    <w:rsid w:val="00BD520F"/>
    <w:rsid w:val="00BD7E1A"/>
    <w:rsid w:val="00BE105D"/>
    <w:rsid w:val="00BE14EE"/>
    <w:rsid w:val="00BE220A"/>
    <w:rsid w:val="00BE3420"/>
    <w:rsid w:val="00BE4E65"/>
    <w:rsid w:val="00BF3A71"/>
    <w:rsid w:val="00BF4788"/>
    <w:rsid w:val="00BF7AF8"/>
    <w:rsid w:val="00C004D0"/>
    <w:rsid w:val="00C03F20"/>
    <w:rsid w:val="00C06FE5"/>
    <w:rsid w:val="00C111A6"/>
    <w:rsid w:val="00C1792A"/>
    <w:rsid w:val="00C2213D"/>
    <w:rsid w:val="00C2217B"/>
    <w:rsid w:val="00C23A7D"/>
    <w:rsid w:val="00C31B2C"/>
    <w:rsid w:val="00C3340A"/>
    <w:rsid w:val="00C371B8"/>
    <w:rsid w:val="00C44939"/>
    <w:rsid w:val="00C46A0D"/>
    <w:rsid w:val="00C52A4D"/>
    <w:rsid w:val="00C5322C"/>
    <w:rsid w:val="00C56EA0"/>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6D"/>
    <w:rsid w:val="00CB71DA"/>
    <w:rsid w:val="00CC16AA"/>
    <w:rsid w:val="00CC3257"/>
    <w:rsid w:val="00CC4EDA"/>
    <w:rsid w:val="00CD116D"/>
    <w:rsid w:val="00CD2988"/>
    <w:rsid w:val="00CD5090"/>
    <w:rsid w:val="00CD704F"/>
    <w:rsid w:val="00CE1096"/>
    <w:rsid w:val="00CE1EC7"/>
    <w:rsid w:val="00CE7461"/>
    <w:rsid w:val="00CF53A8"/>
    <w:rsid w:val="00CF5B3E"/>
    <w:rsid w:val="00CF5CC8"/>
    <w:rsid w:val="00CF652C"/>
    <w:rsid w:val="00CF7FC4"/>
    <w:rsid w:val="00D032B8"/>
    <w:rsid w:val="00D04868"/>
    <w:rsid w:val="00D05FFD"/>
    <w:rsid w:val="00D12B68"/>
    <w:rsid w:val="00D14F98"/>
    <w:rsid w:val="00D151E3"/>
    <w:rsid w:val="00D1531C"/>
    <w:rsid w:val="00D177B3"/>
    <w:rsid w:val="00D30CC4"/>
    <w:rsid w:val="00D3118C"/>
    <w:rsid w:val="00D33451"/>
    <w:rsid w:val="00D33D33"/>
    <w:rsid w:val="00D35B1C"/>
    <w:rsid w:val="00D36A40"/>
    <w:rsid w:val="00D4347B"/>
    <w:rsid w:val="00D43F96"/>
    <w:rsid w:val="00D46B4E"/>
    <w:rsid w:val="00D471F8"/>
    <w:rsid w:val="00D52E86"/>
    <w:rsid w:val="00D55A87"/>
    <w:rsid w:val="00D5652A"/>
    <w:rsid w:val="00D569DC"/>
    <w:rsid w:val="00D647B2"/>
    <w:rsid w:val="00D6748F"/>
    <w:rsid w:val="00D679D8"/>
    <w:rsid w:val="00D753A1"/>
    <w:rsid w:val="00D76F0B"/>
    <w:rsid w:val="00D77F00"/>
    <w:rsid w:val="00D80730"/>
    <w:rsid w:val="00D821F7"/>
    <w:rsid w:val="00D83276"/>
    <w:rsid w:val="00D83E80"/>
    <w:rsid w:val="00D94399"/>
    <w:rsid w:val="00D95AE1"/>
    <w:rsid w:val="00D9640C"/>
    <w:rsid w:val="00D96939"/>
    <w:rsid w:val="00DA0D28"/>
    <w:rsid w:val="00DA0E3B"/>
    <w:rsid w:val="00DA27AE"/>
    <w:rsid w:val="00DA2E22"/>
    <w:rsid w:val="00DA3AA4"/>
    <w:rsid w:val="00DA3DE1"/>
    <w:rsid w:val="00DB6B56"/>
    <w:rsid w:val="00DB7051"/>
    <w:rsid w:val="00DB759F"/>
    <w:rsid w:val="00DC1A3B"/>
    <w:rsid w:val="00DC5498"/>
    <w:rsid w:val="00DC65B0"/>
    <w:rsid w:val="00DD51D8"/>
    <w:rsid w:val="00DD667E"/>
    <w:rsid w:val="00DE026A"/>
    <w:rsid w:val="00DE1E19"/>
    <w:rsid w:val="00DE5C5A"/>
    <w:rsid w:val="00DE7695"/>
    <w:rsid w:val="00DF1AF8"/>
    <w:rsid w:val="00DF2660"/>
    <w:rsid w:val="00DF509B"/>
    <w:rsid w:val="00DF5793"/>
    <w:rsid w:val="00DF738E"/>
    <w:rsid w:val="00E00844"/>
    <w:rsid w:val="00E026CF"/>
    <w:rsid w:val="00E02E64"/>
    <w:rsid w:val="00E05439"/>
    <w:rsid w:val="00E063B5"/>
    <w:rsid w:val="00E073B0"/>
    <w:rsid w:val="00E079EA"/>
    <w:rsid w:val="00E102C0"/>
    <w:rsid w:val="00E113E8"/>
    <w:rsid w:val="00E1276C"/>
    <w:rsid w:val="00E13DBF"/>
    <w:rsid w:val="00E15EBF"/>
    <w:rsid w:val="00E1613A"/>
    <w:rsid w:val="00E175B7"/>
    <w:rsid w:val="00E20DF2"/>
    <w:rsid w:val="00E23B6C"/>
    <w:rsid w:val="00E27A2D"/>
    <w:rsid w:val="00E338BD"/>
    <w:rsid w:val="00E36D34"/>
    <w:rsid w:val="00E37DF8"/>
    <w:rsid w:val="00E41AAB"/>
    <w:rsid w:val="00E44451"/>
    <w:rsid w:val="00E62196"/>
    <w:rsid w:val="00E63BD9"/>
    <w:rsid w:val="00E652AB"/>
    <w:rsid w:val="00E65F3A"/>
    <w:rsid w:val="00E70126"/>
    <w:rsid w:val="00E71383"/>
    <w:rsid w:val="00E73FFD"/>
    <w:rsid w:val="00E8339E"/>
    <w:rsid w:val="00E9479D"/>
    <w:rsid w:val="00E95E92"/>
    <w:rsid w:val="00EA15B7"/>
    <w:rsid w:val="00EA2282"/>
    <w:rsid w:val="00EA6A78"/>
    <w:rsid w:val="00EA752C"/>
    <w:rsid w:val="00EA754D"/>
    <w:rsid w:val="00EB3394"/>
    <w:rsid w:val="00EB580D"/>
    <w:rsid w:val="00EC287D"/>
    <w:rsid w:val="00EC38D1"/>
    <w:rsid w:val="00EC5989"/>
    <w:rsid w:val="00EC699D"/>
    <w:rsid w:val="00ED04BF"/>
    <w:rsid w:val="00ED0AB1"/>
    <w:rsid w:val="00ED27E0"/>
    <w:rsid w:val="00ED3993"/>
    <w:rsid w:val="00ED4779"/>
    <w:rsid w:val="00EE0329"/>
    <w:rsid w:val="00EE4FF9"/>
    <w:rsid w:val="00EF17A7"/>
    <w:rsid w:val="00EF4565"/>
    <w:rsid w:val="00EF57C0"/>
    <w:rsid w:val="00EF5A10"/>
    <w:rsid w:val="00EF5E1B"/>
    <w:rsid w:val="00EF6DA0"/>
    <w:rsid w:val="00EF76E2"/>
    <w:rsid w:val="00F011A9"/>
    <w:rsid w:val="00F016CB"/>
    <w:rsid w:val="00F05616"/>
    <w:rsid w:val="00F05B21"/>
    <w:rsid w:val="00F05C46"/>
    <w:rsid w:val="00F1703B"/>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53B4"/>
    <w:rsid w:val="00F67449"/>
    <w:rsid w:val="00F77CA9"/>
    <w:rsid w:val="00F8300F"/>
    <w:rsid w:val="00F86793"/>
    <w:rsid w:val="00F87848"/>
    <w:rsid w:val="00F947B5"/>
    <w:rsid w:val="00FA3476"/>
    <w:rsid w:val="00FA4932"/>
    <w:rsid w:val="00FA4E61"/>
    <w:rsid w:val="00FB0E18"/>
    <w:rsid w:val="00FB1218"/>
    <w:rsid w:val="00FB5852"/>
    <w:rsid w:val="00FC16DA"/>
    <w:rsid w:val="00FC50EC"/>
    <w:rsid w:val="00FD0170"/>
    <w:rsid w:val="00FE14F7"/>
    <w:rsid w:val="00FE3450"/>
    <w:rsid w:val="00FE3FAC"/>
    <w:rsid w:val="00FE6A0E"/>
    <w:rsid w:val="00FE7EF5"/>
    <w:rsid w:val="00FF13A8"/>
    <w:rsid w:val="00FF3131"/>
    <w:rsid w:val="00FF6A2D"/>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9947A7-4E06-44E1-B788-8B199ED4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763717"/>
    <w:pPr>
      <w:autoSpaceDE w:val="0"/>
      <w:autoSpaceDN w:val="0"/>
      <w:adjustRightInd w:val="0"/>
    </w:pPr>
    <w:rPr>
      <w:color w:val="000000"/>
      <w:sz w:val="24"/>
      <w:szCs w:val="24"/>
    </w:rPr>
  </w:style>
  <w:style w:type="paragraph" w:styleId="List">
    <w:name w:val="List"/>
    <w:basedOn w:val="Normal"/>
    <w:rsid w:val="00B147ED"/>
    <w:pPr>
      <w:spacing w:after="240"/>
    </w:pPr>
    <w:rPr>
      <w:szCs w:val="20"/>
    </w:rPr>
  </w:style>
  <w:style w:type="paragraph" w:customStyle="1" w:styleId="xl43">
    <w:name w:val="xl43"/>
    <w:basedOn w:val="Normal"/>
    <w:rsid w:val="007246B0"/>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table" w:styleId="TableGrid">
    <w:name w:val="Table Grid"/>
    <w:basedOn w:val="TableNormal"/>
    <w:rsid w:val="0070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6263">
      <w:bodyDiv w:val="1"/>
      <w:marLeft w:val="0"/>
      <w:marRight w:val="0"/>
      <w:marTop w:val="0"/>
      <w:marBottom w:val="0"/>
      <w:divBdr>
        <w:top w:val="none" w:sz="0" w:space="0" w:color="auto"/>
        <w:left w:val="none" w:sz="0" w:space="0" w:color="auto"/>
        <w:bottom w:val="none" w:sz="0" w:space="0" w:color="auto"/>
        <w:right w:val="none" w:sz="0" w:space="0" w:color="auto"/>
      </w:divBdr>
    </w:div>
    <w:div w:id="424418214">
      <w:bodyDiv w:val="1"/>
      <w:marLeft w:val="0"/>
      <w:marRight w:val="0"/>
      <w:marTop w:val="0"/>
      <w:marBottom w:val="0"/>
      <w:divBdr>
        <w:top w:val="none" w:sz="0" w:space="0" w:color="auto"/>
        <w:left w:val="none" w:sz="0" w:space="0" w:color="auto"/>
        <w:bottom w:val="none" w:sz="0" w:space="0" w:color="auto"/>
        <w:right w:val="none" w:sz="0" w:space="0" w:color="auto"/>
      </w:divBdr>
    </w:div>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761074124">
      <w:bodyDiv w:val="1"/>
      <w:marLeft w:val="0"/>
      <w:marRight w:val="0"/>
      <w:marTop w:val="0"/>
      <w:marBottom w:val="0"/>
      <w:divBdr>
        <w:top w:val="none" w:sz="0" w:space="0" w:color="auto"/>
        <w:left w:val="none" w:sz="0" w:space="0" w:color="auto"/>
        <w:bottom w:val="none" w:sz="0" w:space="0" w:color="auto"/>
        <w:right w:val="none" w:sz="0" w:space="0" w:color="auto"/>
      </w:divBdr>
    </w:div>
    <w:div w:id="931206808">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pc.org/environment/home.asp" TargetMode="External"/><Relationship Id="rId1" Type="http://schemas.openxmlformats.org/officeDocument/2006/relationships/hyperlink" Target="http://www.fpc.org/smolt/smolt_queries/Q_smolt_dailypassageindex_que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12748-3B2A-42BE-8BA8-2079C05E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1279</Words>
  <Characters>6589</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dc:description/>
  <cp:lastModifiedBy>G0PDWLSW</cp:lastModifiedBy>
  <cp:revision>19</cp:revision>
  <cp:lastPrinted>2020-01-21T18:02:00Z</cp:lastPrinted>
  <dcterms:created xsi:type="dcterms:W3CDTF">2020-02-19T02:05:00Z</dcterms:created>
  <dcterms:modified xsi:type="dcterms:W3CDTF">2020-02-27T00:47:00Z</dcterms:modified>
</cp:coreProperties>
</file>